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21E" w:rsidRPr="0045621E" w:rsidRDefault="0045621E" w:rsidP="0045621E">
      <w:pPr>
        <w:spacing w:after="270" w:line="240" w:lineRule="auto"/>
        <w:textAlignment w:val="baseline"/>
        <w:outlineLvl w:val="0"/>
        <w:rPr>
          <w:rFonts w:ascii="Arial" w:eastAsia="Times New Roman" w:hAnsi="Arial" w:cs="Arial"/>
          <w:b/>
          <w:bCs/>
          <w:color w:val="1D4B80"/>
          <w:kern w:val="36"/>
          <w:sz w:val="27"/>
          <w:szCs w:val="27"/>
        </w:rPr>
      </w:pPr>
      <w:r w:rsidRPr="0045621E">
        <w:rPr>
          <w:rFonts w:ascii="Arial" w:eastAsia="Times New Roman" w:hAnsi="Arial" w:cs="Arial"/>
          <w:b/>
          <w:bCs/>
          <w:color w:val="1D4B80"/>
          <w:kern w:val="36"/>
          <w:sz w:val="27"/>
          <w:szCs w:val="27"/>
        </w:rPr>
        <w:t>De</w:t>
      </w:r>
      <w:bookmarkStart w:id="0" w:name="_GoBack"/>
      <w:bookmarkEnd w:id="0"/>
      <w:r w:rsidRPr="0045621E">
        <w:rPr>
          <w:rFonts w:ascii="Arial" w:eastAsia="Times New Roman" w:hAnsi="Arial" w:cs="Arial"/>
          <w:b/>
          <w:bCs/>
          <w:color w:val="1D4B80"/>
          <w:kern w:val="36"/>
          <w:sz w:val="27"/>
          <w:szCs w:val="27"/>
        </w:rPr>
        <w:t>terminants of Health</w:t>
      </w:r>
    </w:p>
    <w:p w:rsidR="0045621E" w:rsidRPr="0045621E" w:rsidRDefault="0045621E" w:rsidP="0045621E">
      <w:pPr>
        <w:numPr>
          <w:ilvl w:val="0"/>
          <w:numId w:val="1"/>
        </w:numPr>
        <w:spacing w:after="0" w:line="300" w:lineRule="atLeast"/>
        <w:ind w:left="120"/>
        <w:textAlignment w:val="baseline"/>
        <w:rPr>
          <w:rFonts w:ascii="Arial" w:eastAsia="Times New Roman" w:hAnsi="Arial" w:cs="Arial"/>
          <w:color w:val="000000"/>
          <w:sz w:val="21"/>
          <w:szCs w:val="21"/>
        </w:rPr>
      </w:pPr>
      <w:bookmarkStart w:id="1" w:name="top"/>
      <w:bookmarkEnd w:id="1"/>
      <w:r w:rsidRPr="0045621E">
        <w:rPr>
          <w:rFonts w:ascii="Arial" w:eastAsia="Times New Roman" w:hAnsi="Arial" w:cs="Arial"/>
          <w:color w:val="000000"/>
          <w:sz w:val="21"/>
          <w:szCs w:val="21"/>
        </w:rPr>
        <w:t>What makes some people healthy and others unhealthy?</w:t>
      </w:r>
    </w:p>
    <w:p w:rsidR="0045621E" w:rsidRPr="0045621E" w:rsidRDefault="0045621E" w:rsidP="0045621E">
      <w:pPr>
        <w:numPr>
          <w:ilvl w:val="0"/>
          <w:numId w:val="1"/>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How can we create a society in which everyone has a chance to live a long, healthy life?</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Healthy People 2020 is exploring these questions by:</w:t>
      </w:r>
    </w:p>
    <w:p w:rsidR="0045621E" w:rsidRPr="0045621E" w:rsidRDefault="0045621E" w:rsidP="0045621E">
      <w:pPr>
        <w:numPr>
          <w:ilvl w:val="0"/>
          <w:numId w:val="2"/>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Developing objectives that address the relationship between health status and biology, individual behavior, health services, social factors, and policies.</w:t>
      </w:r>
    </w:p>
    <w:p w:rsidR="0045621E" w:rsidRPr="0045621E" w:rsidRDefault="0045621E" w:rsidP="0045621E">
      <w:pPr>
        <w:numPr>
          <w:ilvl w:val="0"/>
          <w:numId w:val="2"/>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Emphasizing an ecological approach to disease prevention and health promotion. An ecological approach focuses on both individual-level and population-level determinants of health and interventions.</w:t>
      </w:r>
    </w:p>
    <w:p w:rsidR="0045621E" w:rsidRPr="0045621E" w:rsidRDefault="0045621E" w:rsidP="0045621E">
      <w:pPr>
        <w:spacing w:after="0" w:line="30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br/>
      </w:r>
    </w:p>
    <w:p w:rsidR="0045621E" w:rsidRPr="0045621E" w:rsidRDefault="0045621E" w:rsidP="0045621E">
      <w:pPr>
        <w:spacing w:after="75" w:line="300" w:lineRule="atLeast"/>
        <w:textAlignment w:val="baseline"/>
        <w:outlineLvl w:val="2"/>
        <w:rPr>
          <w:rFonts w:ascii="Arial" w:eastAsia="Times New Roman" w:hAnsi="Arial" w:cs="Arial"/>
          <w:b/>
          <w:bCs/>
          <w:color w:val="2D856C"/>
          <w:sz w:val="26"/>
          <w:szCs w:val="26"/>
        </w:rPr>
      </w:pPr>
      <w:r w:rsidRPr="0045621E">
        <w:rPr>
          <w:rFonts w:ascii="Arial" w:eastAsia="Times New Roman" w:hAnsi="Arial" w:cs="Arial"/>
          <w:b/>
          <w:bCs/>
          <w:color w:val="2D856C"/>
          <w:sz w:val="26"/>
          <w:szCs w:val="26"/>
        </w:rPr>
        <w:t>About Determinants of Health</w:t>
      </w:r>
    </w:p>
    <w:p w:rsidR="0045621E" w:rsidRPr="0045621E" w:rsidRDefault="0045621E" w:rsidP="0045621E">
      <w:pPr>
        <w:spacing w:after="0" w:line="30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The range of personal, social, economic, and environmental factors that influence health status are known as determinants of health.</w:t>
      </w:r>
    </w:p>
    <w:p w:rsidR="0045621E" w:rsidRPr="0045621E" w:rsidRDefault="0045621E" w:rsidP="0045621E">
      <w:pPr>
        <w:spacing w:after="0" w:line="30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 </w:t>
      </w:r>
    </w:p>
    <w:p w:rsidR="0045621E" w:rsidRPr="0045621E" w:rsidRDefault="0045621E" w:rsidP="0045621E">
      <w:pPr>
        <w:spacing w:after="0" w:line="30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Determinants of health fall under several broad categories:</w:t>
      </w:r>
    </w:p>
    <w:p w:rsidR="0045621E" w:rsidRPr="0045621E" w:rsidRDefault="0045621E" w:rsidP="0045621E">
      <w:pPr>
        <w:spacing w:after="0" w:line="30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 </w:t>
      </w:r>
    </w:p>
    <w:p w:rsidR="0045621E" w:rsidRPr="0045621E" w:rsidRDefault="0045621E" w:rsidP="0045621E">
      <w:pPr>
        <w:numPr>
          <w:ilvl w:val="0"/>
          <w:numId w:val="3"/>
        </w:numPr>
        <w:spacing w:after="0" w:line="300" w:lineRule="atLeast"/>
        <w:ind w:left="120"/>
        <w:textAlignment w:val="baseline"/>
        <w:rPr>
          <w:rFonts w:ascii="Arial" w:eastAsia="Times New Roman" w:hAnsi="Arial" w:cs="Arial"/>
          <w:color w:val="000000"/>
          <w:sz w:val="21"/>
          <w:szCs w:val="21"/>
        </w:rPr>
      </w:pPr>
      <w:hyperlink r:id="rId5" w:anchor="policymaking" w:history="1">
        <w:r w:rsidRPr="0045621E">
          <w:rPr>
            <w:rFonts w:ascii="Arial" w:eastAsia="Times New Roman" w:hAnsi="Arial" w:cs="Arial"/>
            <w:b/>
            <w:bCs/>
            <w:color w:val="006C9F"/>
            <w:sz w:val="21"/>
            <w:szCs w:val="21"/>
            <w:u w:val="single"/>
            <w:bdr w:val="none" w:sz="0" w:space="0" w:color="auto" w:frame="1"/>
          </w:rPr>
          <w:t>Policymaking</w:t>
        </w:r>
      </w:hyperlink>
    </w:p>
    <w:p w:rsidR="0045621E" w:rsidRPr="0045621E" w:rsidRDefault="0045621E" w:rsidP="0045621E">
      <w:pPr>
        <w:numPr>
          <w:ilvl w:val="0"/>
          <w:numId w:val="3"/>
        </w:numPr>
        <w:spacing w:after="0" w:line="300" w:lineRule="atLeast"/>
        <w:ind w:left="120"/>
        <w:textAlignment w:val="baseline"/>
        <w:rPr>
          <w:rFonts w:ascii="Arial" w:eastAsia="Times New Roman" w:hAnsi="Arial" w:cs="Arial"/>
          <w:color w:val="000000"/>
          <w:sz w:val="21"/>
          <w:szCs w:val="21"/>
        </w:rPr>
      </w:pPr>
      <w:hyperlink r:id="rId6" w:anchor="social" w:history="1">
        <w:r w:rsidRPr="0045621E">
          <w:rPr>
            <w:rFonts w:ascii="Arial" w:eastAsia="Times New Roman" w:hAnsi="Arial" w:cs="Arial"/>
            <w:b/>
            <w:bCs/>
            <w:color w:val="006C9F"/>
            <w:sz w:val="21"/>
            <w:szCs w:val="21"/>
            <w:u w:val="single"/>
            <w:bdr w:val="none" w:sz="0" w:space="0" w:color="auto" w:frame="1"/>
          </w:rPr>
          <w:t>Social factors</w:t>
        </w:r>
      </w:hyperlink>
    </w:p>
    <w:p w:rsidR="0045621E" w:rsidRPr="0045621E" w:rsidRDefault="0045621E" w:rsidP="0045621E">
      <w:pPr>
        <w:numPr>
          <w:ilvl w:val="0"/>
          <w:numId w:val="3"/>
        </w:numPr>
        <w:spacing w:after="0" w:line="300" w:lineRule="atLeast"/>
        <w:ind w:left="120"/>
        <w:textAlignment w:val="baseline"/>
        <w:rPr>
          <w:rFonts w:ascii="Arial" w:eastAsia="Times New Roman" w:hAnsi="Arial" w:cs="Arial"/>
          <w:color w:val="000000"/>
          <w:sz w:val="21"/>
          <w:szCs w:val="21"/>
        </w:rPr>
      </w:pPr>
      <w:hyperlink r:id="rId7" w:anchor="health%20services" w:history="1">
        <w:r w:rsidRPr="0045621E">
          <w:rPr>
            <w:rFonts w:ascii="Arial" w:eastAsia="Times New Roman" w:hAnsi="Arial" w:cs="Arial"/>
            <w:b/>
            <w:bCs/>
            <w:color w:val="006C9F"/>
            <w:sz w:val="21"/>
            <w:szCs w:val="21"/>
            <w:u w:val="single"/>
            <w:bdr w:val="none" w:sz="0" w:space="0" w:color="auto" w:frame="1"/>
          </w:rPr>
          <w:t>Health services</w:t>
        </w:r>
      </w:hyperlink>
    </w:p>
    <w:p w:rsidR="0045621E" w:rsidRPr="0045621E" w:rsidRDefault="0045621E" w:rsidP="0045621E">
      <w:pPr>
        <w:numPr>
          <w:ilvl w:val="0"/>
          <w:numId w:val="3"/>
        </w:numPr>
        <w:spacing w:after="0" w:line="300" w:lineRule="atLeast"/>
        <w:ind w:left="120"/>
        <w:textAlignment w:val="baseline"/>
        <w:rPr>
          <w:rFonts w:ascii="Arial" w:eastAsia="Times New Roman" w:hAnsi="Arial" w:cs="Arial"/>
          <w:color w:val="000000"/>
          <w:sz w:val="21"/>
          <w:szCs w:val="21"/>
        </w:rPr>
      </w:pPr>
      <w:hyperlink r:id="rId8" w:anchor="individual%20behavior" w:history="1">
        <w:r w:rsidRPr="0045621E">
          <w:rPr>
            <w:rFonts w:ascii="Arial" w:eastAsia="Times New Roman" w:hAnsi="Arial" w:cs="Arial"/>
            <w:b/>
            <w:bCs/>
            <w:color w:val="006C9F"/>
            <w:sz w:val="21"/>
            <w:szCs w:val="21"/>
            <w:u w:val="single"/>
            <w:bdr w:val="none" w:sz="0" w:space="0" w:color="auto" w:frame="1"/>
          </w:rPr>
          <w:t>Individual behavior</w:t>
        </w:r>
      </w:hyperlink>
    </w:p>
    <w:p w:rsidR="0045621E" w:rsidRPr="0045621E" w:rsidRDefault="0045621E" w:rsidP="0045621E">
      <w:pPr>
        <w:numPr>
          <w:ilvl w:val="0"/>
          <w:numId w:val="3"/>
        </w:numPr>
        <w:spacing w:after="0" w:line="300" w:lineRule="atLeast"/>
        <w:ind w:left="120"/>
        <w:textAlignment w:val="baseline"/>
        <w:rPr>
          <w:rFonts w:ascii="Arial" w:eastAsia="Times New Roman" w:hAnsi="Arial" w:cs="Arial"/>
          <w:color w:val="000000"/>
          <w:sz w:val="21"/>
          <w:szCs w:val="21"/>
        </w:rPr>
      </w:pPr>
      <w:hyperlink r:id="rId9" w:anchor="biology%20and%20genetics" w:history="1">
        <w:r w:rsidRPr="0045621E">
          <w:rPr>
            <w:rFonts w:ascii="Arial" w:eastAsia="Times New Roman" w:hAnsi="Arial" w:cs="Arial"/>
            <w:b/>
            <w:bCs/>
            <w:color w:val="006C9F"/>
            <w:sz w:val="21"/>
            <w:szCs w:val="21"/>
            <w:u w:val="single"/>
            <w:bdr w:val="none" w:sz="0" w:space="0" w:color="auto" w:frame="1"/>
          </w:rPr>
          <w:t>Biology and genetics</w:t>
        </w:r>
      </w:hyperlink>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It is the interrelationships among these factors that determine individual and population health. Because of this, interventions that target multiple determinants of health are most likely to be effective. Determinants of health reach beyond the boundaries of traditional health care and public health sectors; sectors such as education, housing, transportation, agriculture, and environment can be important allies in improving population health.</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hyperlink r:id="rId10" w:anchor="top" w:history="1">
        <w:r w:rsidRPr="0045621E">
          <w:rPr>
            <w:rFonts w:ascii="Arial" w:eastAsia="Times New Roman" w:hAnsi="Arial" w:cs="Arial"/>
            <w:b/>
            <w:bCs/>
            <w:color w:val="006C9F"/>
            <w:sz w:val="21"/>
            <w:szCs w:val="21"/>
            <w:u w:val="single"/>
            <w:bdr w:val="none" w:sz="0" w:space="0" w:color="auto" w:frame="1"/>
          </w:rPr>
          <w:t>Back to Top</w:t>
        </w:r>
      </w:hyperlink>
    </w:p>
    <w:p w:rsidR="0045621E" w:rsidRPr="0045621E" w:rsidRDefault="0045621E" w:rsidP="0045621E">
      <w:pPr>
        <w:spacing w:after="0" w:line="300" w:lineRule="atLeast"/>
        <w:textAlignment w:val="baseline"/>
        <w:outlineLvl w:val="2"/>
        <w:rPr>
          <w:rFonts w:ascii="Arial" w:eastAsia="Times New Roman" w:hAnsi="Arial" w:cs="Arial"/>
          <w:b/>
          <w:bCs/>
          <w:color w:val="2D856C"/>
          <w:sz w:val="26"/>
          <w:szCs w:val="26"/>
        </w:rPr>
      </w:pPr>
      <w:bookmarkStart w:id="2" w:name="policymaking"/>
      <w:bookmarkEnd w:id="2"/>
      <w:r w:rsidRPr="0045621E">
        <w:rPr>
          <w:rFonts w:ascii="Arial" w:eastAsia="Times New Roman" w:hAnsi="Arial" w:cs="Arial"/>
          <w:b/>
          <w:bCs/>
          <w:color w:val="2D856C"/>
          <w:sz w:val="26"/>
          <w:szCs w:val="26"/>
        </w:rPr>
        <w:t>Policymaking</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Policies at the local, state, and federal level affect individual and population health. Increasing taxes on tobacco sales, for example, can improve population health by reducing the number of people using tobacco products.</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 xml:space="preserve">Some policies affect entire populations over extended periods of time while simultaneously helping to change individual behavior. For example, the 1966 Highway Safety Act and the National Traffic and Motor Vehicle Safety Act authorized the Federal Government to set and regulate standards for </w:t>
      </w:r>
      <w:r w:rsidRPr="0045621E">
        <w:rPr>
          <w:rFonts w:ascii="Arial" w:eastAsia="Times New Roman" w:hAnsi="Arial" w:cs="Arial"/>
          <w:color w:val="000000"/>
          <w:sz w:val="21"/>
          <w:szCs w:val="21"/>
        </w:rPr>
        <w:lastRenderedPageBreak/>
        <w:t>motor vehicles and highways. This led to an increase in safety standards for cars, including seat belts, which in turn reduced rates of injuries and deaths from motor vehicle accidents.</w:t>
      </w:r>
      <w:hyperlink r:id="rId11" w:anchor="1" w:history="1">
        <w:r w:rsidRPr="0045621E">
          <w:rPr>
            <w:rFonts w:ascii="Arial" w:eastAsia="Times New Roman" w:hAnsi="Arial" w:cs="Arial"/>
            <w:b/>
            <w:bCs/>
            <w:color w:val="4B2B80"/>
            <w:sz w:val="15"/>
            <w:szCs w:val="15"/>
            <w:u w:val="single"/>
            <w:bdr w:val="none" w:sz="0" w:space="0" w:color="auto" w:frame="1"/>
          </w:rPr>
          <w:t>1</w:t>
        </w:r>
      </w:hyperlink>
    </w:p>
    <w:p w:rsidR="0045621E" w:rsidRPr="0045621E" w:rsidRDefault="0045621E" w:rsidP="0045621E">
      <w:pPr>
        <w:spacing w:after="0" w:line="300" w:lineRule="atLeast"/>
        <w:textAlignment w:val="baseline"/>
        <w:outlineLvl w:val="2"/>
        <w:rPr>
          <w:rFonts w:ascii="Arial" w:eastAsia="Times New Roman" w:hAnsi="Arial" w:cs="Arial"/>
          <w:b/>
          <w:bCs/>
          <w:color w:val="2D856C"/>
          <w:sz w:val="26"/>
          <w:szCs w:val="26"/>
        </w:rPr>
      </w:pPr>
      <w:bookmarkStart w:id="3" w:name="social"/>
      <w:bookmarkEnd w:id="3"/>
      <w:r w:rsidRPr="0045621E">
        <w:rPr>
          <w:rFonts w:ascii="Arial" w:eastAsia="Times New Roman" w:hAnsi="Arial" w:cs="Arial"/>
          <w:b/>
          <w:bCs/>
          <w:color w:val="2D856C"/>
          <w:sz w:val="26"/>
          <w:szCs w:val="26"/>
          <w:bdr w:val="none" w:sz="0" w:space="0" w:color="auto" w:frame="1"/>
        </w:rPr>
        <w:t>Social Factors</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Social determinants of health reflect the social factors and physical conditions of the environment in which people are born, live, learn, play, work, and age. Also known as </w:t>
      </w:r>
      <w:r w:rsidRPr="0045621E">
        <w:rPr>
          <w:rFonts w:ascii="Arial" w:eastAsia="Times New Roman" w:hAnsi="Arial" w:cs="Arial"/>
          <w:i/>
          <w:iCs/>
          <w:color w:val="000000"/>
          <w:sz w:val="21"/>
          <w:szCs w:val="21"/>
          <w:bdr w:val="none" w:sz="0" w:space="0" w:color="auto" w:frame="1"/>
        </w:rPr>
        <w:t>social and physical determinants</w:t>
      </w:r>
      <w:r w:rsidRPr="0045621E">
        <w:rPr>
          <w:rFonts w:ascii="Arial" w:eastAsia="Times New Roman" w:hAnsi="Arial" w:cs="Arial"/>
          <w:color w:val="000000"/>
          <w:sz w:val="21"/>
          <w:szCs w:val="21"/>
        </w:rPr>
        <w:t> of health, they impact a wide range of health, functioning, and quality-of-life outcomes.</w:t>
      </w:r>
    </w:p>
    <w:p w:rsidR="0045621E" w:rsidRPr="0045621E" w:rsidRDefault="0045621E" w:rsidP="0045621E">
      <w:pPr>
        <w:spacing w:after="150" w:line="300" w:lineRule="atLeast"/>
        <w:textAlignment w:val="baseline"/>
        <w:rPr>
          <w:rFonts w:ascii="Arial" w:eastAsia="Times New Roman" w:hAnsi="Arial" w:cs="Arial"/>
          <w:color w:val="000000"/>
          <w:sz w:val="21"/>
          <w:szCs w:val="21"/>
        </w:rPr>
      </w:pPr>
      <w:hyperlink r:id="rId12" w:tgtFrame="_blank" w:history="1">
        <w:r w:rsidRPr="0045621E">
          <w:rPr>
            <w:rFonts w:ascii="Arial" w:eastAsia="Times New Roman" w:hAnsi="Arial" w:cs="Arial"/>
            <w:b/>
            <w:bCs/>
            <w:color w:val="006C9F"/>
            <w:sz w:val="21"/>
            <w:szCs w:val="21"/>
            <w:u w:val="single"/>
            <w:bdr w:val="none" w:sz="0" w:space="0" w:color="auto" w:frame="1"/>
          </w:rPr>
          <w:t>Don’t miss the Social Determinants of Health topic area and objectives</w:t>
        </w:r>
      </w:hyperlink>
      <w:r w:rsidRPr="0045621E">
        <w:rPr>
          <w:rFonts w:ascii="Arial" w:eastAsia="Times New Roman" w:hAnsi="Arial" w:cs="Arial"/>
          <w:color w:val="000000"/>
          <w:sz w:val="21"/>
          <w:szCs w:val="21"/>
          <w:bdr w:val="none" w:sz="0" w:space="0" w:color="auto" w:frame="1"/>
        </w:rPr>
        <w:t>.</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Examples of </w:t>
      </w:r>
      <w:r w:rsidRPr="0045621E">
        <w:rPr>
          <w:rFonts w:ascii="Arial" w:eastAsia="Times New Roman" w:hAnsi="Arial" w:cs="Arial"/>
          <w:i/>
          <w:iCs/>
          <w:color w:val="000000"/>
          <w:sz w:val="21"/>
          <w:szCs w:val="21"/>
          <w:bdr w:val="none" w:sz="0" w:space="0" w:color="auto" w:frame="1"/>
        </w:rPr>
        <w:t>social determinants</w:t>
      </w:r>
      <w:r w:rsidRPr="0045621E">
        <w:rPr>
          <w:rFonts w:ascii="Arial" w:eastAsia="Times New Roman" w:hAnsi="Arial" w:cs="Arial"/>
          <w:color w:val="000000"/>
          <w:sz w:val="21"/>
          <w:szCs w:val="21"/>
        </w:rPr>
        <w:t> include:</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Availability of resources to meet daily needs, such as educational and job opportunities, living wages, or healthful foods</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Social norms and attitudes, such as discrimination</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Exposure to crime, violence, and social disorder, such as the presence of trash</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Social support and social interactions</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Exposure to mass media and emerging technologies, such as the Internet or cell phones</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Socioeconomic conditions, such as concentrated poverty</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Quality schools</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Transportation options</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Public safety</w:t>
      </w:r>
    </w:p>
    <w:p w:rsidR="0045621E" w:rsidRPr="0045621E" w:rsidRDefault="0045621E" w:rsidP="0045621E">
      <w:pPr>
        <w:numPr>
          <w:ilvl w:val="0"/>
          <w:numId w:val="4"/>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Residential segregation</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Examples of </w:t>
      </w:r>
      <w:r w:rsidRPr="0045621E">
        <w:rPr>
          <w:rFonts w:ascii="Arial" w:eastAsia="Times New Roman" w:hAnsi="Arial" w:cs="Arial"/>
          <w:i/>
          <w:iCs/>
          <w:color w:val="000000"/>
          <w:sz w:val="21"/>
          <w:szCs w:val="21"/>
          <w:bdr w:val="none" w:sz="0" w:space="0" w:color="auto" w:frame="1"/>
        </w:rPr>
        <w:t>physical determinants</w:t>
      </w:r>
      <w:r w:rsidRPr="0045621E">
        <w:rPr>
          <w:rFonts w:ascii="Arial" w:eastAsia="Times New Roman" w:hAnsi="Arial" w:cs="Arial"/>
          <w:color w:val="000000"/>
          <w:sz w:val="21"/>
          <w:szCs w:val="21"/>
        </w:rPr>
        <w:t> include:</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Natural environment, such as plants, weather, or climate change</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Built environment, such as buildings or transportation</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Worksites, schools, and recreational settings</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Housing, homes, and neighborhoods</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Exposure to toxic substances and other physical hazards</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Physical barriers, especially for people with disabilities</w:t>
      </w:r>
    </w:p>
    <w:p w:rsidR="0045621E" w:rsidRPr="0045621E" w:rsidRDefault="0045621E" w:rsidP="0045621E">
      <w:pPr>
        <w:numPr>
          <w:ilvl w:val="0"/>
          <w:numId w:val="5"/>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Aesthetic elements, such as good lighting, trees, or benches</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Poor health outcomes are often made worse by the interaction between individuals and their social and physical environment.</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For example, millions of people in the United States live in places that have unhealthy levels of ozone or other air pollutants. In counties where ozone pollution is high, there is often a higher prevalence of asthma in both adults and children compared with state and national averages. Poor air quality can worsen asthma symptoms, especially in children.</w:t>
      </w:r>
      <w:hyperlink r:id="rId13" w:anchor="2" w:history="1">
        <w:r w:rsidRPr="0045621E">
          <w:rPr>
            <w:rFonts w:ascii="Arial" w:eastAsia="Times New Roman" w:hAnsi="Arial" w:cs="Arial"/>
            <w:b/>
            <w:bCs/>
            <w:color w:val="006C9F"/>
            <w:sz w:val="15"/>
            <w:szCs w:val="15"/>
            <w:u w:val="single"/>
            <w:bdr w:val="none" w:sz="0" w:space="0" w:color="auto" w:frame="1"/>
          </w:rPr>
          <w:t>2</w:t>
        </w:r>
      </w:hyperlink>
    </w:p>
    <w:p w:rsidR="0045621E" w:rsidRPr="0045621E" w:rsidRDefault="0045621E" w:rsidP="0045621E">
      <w:pPr>
        <w:spacing w:after="0" w:line="360" w:lineRule="atLeast"/>
        <w:textAlignment w:val="baseline"/>
        <w:rPr>
          <w:rFonts w:ascii="Arial" w:eastAsia="Times New Roman" w:hAnsi="Arial" w:cs="Arial"/>
          <w:color w:val="000000"/>
          <w:sz w:val="21"/>
          <w:szCs w:val="21"/>
        </w:rPr>
      </w:pPr>
      <w:hyperlink r:id="rId14" w:anchor="top" w:history="1">
        <w:r w:rsidRPr="0045621E">
          <w:rPr>
            <w:rFonts w:ascii="Arial" w:eastAsia="Times New Roman" w:hAnsi="Arial" w:cs="Arial"/>
            <w:b/>
            <w:bCs/>
            <w:color w:val="006C9F"/>
            <w:sz w:val="21"/>
            <w:szCs w:val="21"/>
            <w:u w:val="single"/>
            <w:bdr w:val="none" w:sz="0" w:space="0" w:color="auto" w:frame="1"/>
          </w:rPr>
          <w:t>Back to Top</w:t>
        </w:r>
      </w:hyperlink>
    </w:p>
    <w:p w:rsidR="0045621E" w:rsidRPr="0045621E" w:rsidRDefault="0045621E" w:rsidP="0045621E">
      <w:pPr>
        <w:spacing w:after="0" w:line="300" w:lineRule="atLeast"/>
        <w:textAlignment w:val="baseline"/>
        <w:outlineLvl w:val="2"/>
        <w:rPr>
          <w:rFonts w:ascii="Arial" w:eastAsia="Times New Roman" w:hAnsi="Arial" w:cs="Arial"/>
          <w:b/>
          <w:bCs/>
          <w:color w:val="2D856C"/>
          <w:sz w:val="26"/>
          <w:szCs w:val="26"/>
        </w:rPr>
      </w:pPr>
      <w:bookmarkStart w:id="4" w:name="health_services"/>
      <w:bookmarkEnd w:id="4"/>
      <w:r w:rsidRPr="0045621E">
        <w:rPr>
          <w:rFonts w:ascii="Arial" w:eastAsia="Times New Roman" w:hAnsi="Arial" w:cs="Arial"/>
          <w:b/>
          <w:bCs/>
          <w:color w:val="2D856C"/>
          <w:sz w:val="26"/>
          <w:szCs w:val="26"/>
          <w:bdr w:val="none" w:sz="0" w:space="0" w:color="auto" w:frame="1"/>
        </w:rPr>
        <w:t>Health Services</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Both access to health services and the quality of health services can impact health. Healthy People 2020 directly addresses access to health services as a topic area and incorporates quality of health services throughout a number of topic areas.</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lastRenderedPageBreak/>
        <w:t>Lack of access, or limited access, to health services greatly impacts an individual’s health status. For example, when individuals do not have health insurance, they are less likely to participate in preventive care and are more likely to delay medical treatment.</w:t>
      </w:r>
      <w:hyperlink r:id="rId15" w:anchor="3" w:history="1">
        <w:r w:rsidRPr="0045621E">
          <w:rPr>
            <w:rFonts w:ascii="Arial" w:eastAsia="Times New Roman" w:hAnsi="Arial" w:cs="Arial"/>
            <w:b/>
            <w:bCs/>
            <w:color w:val="006C9F"/>
            <w:sz w:val="15"/>
            <w:szCs w:val="15"/>
            <w:u w:val="single"/>
            <w:bdr w:val="none" w:sz="0" w:space="0" w:color="auto" w:frame="1"/>
          </w:rPr>
          <w:t>3</w:t>
        </w:r>
      </w:hyperlink>
    </w:p>
    <w:p w:rsidR="0045621E" w:rsidRPr="0045621E" w:rsidRDefault="0045621E" w:rsidP="0045621E">
      <w:pPr>
        <w:spacing w:after="150" w:line="300" w:lineRule="atLeast"/>
        <w:textAlignment w:val="baseline"/>
        <w:rPr>
          <w:rFonts w:ascii="Arial" w:eastAsia="Times New Roman" w:hAnsi="Arial" w:cs="Arial"/>
          <w:color w:val="000000"/>
          <w:sz w:val="21"/>
          <w:szCs w:val="21"/>
        </w:rPr>
      </w:pPr>
      <w:hyperlink r:id="rId16" w:tgtFrame="_blank" w:history="1">
        <w:r w:rsidRPr="0045621E">
          <w:rPr>
            <w:rFonts w:ascii="Arial" w:eastAsia="Times New Roman" w:hAnsi="Arial" w:cs="Arial"/>
            <w:b/>
            <w:bCs/>
            <w:color w:val="006C9F"/>
            <w:sz w:val="21"/>
            <w:szCs w:val="21"/>
            <w:u w:val="single"/>
            <w:bdr w:val="none" w:sz="0" w:space="0" w:color="auto" w:frame="1"/>
          </w:rPr>
          <w:t>Don’t miss the Access to Health Services topic area and objectives</w:t>
        </w:r>
      </w:hyperlink>
      <w:r w:rsidRPr="0045621E">
        <w:rPr>
          <w:rFonts w:ascii="Arial" w:eastAsia="Times New Roman" w:hAnsi="Arial" w:cs="Arial"/>
          <w:color w:val="000000"/>
          <w:sz w:val="21"/>
          <w:szCs w:val="21"/>
          <w:bdr w:val="none" w:sz="0" w:space="0" w:color="auto" w:frame="1"/>
        </w:rPr>
        <w:t>.</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bdr w:val="none" w:sz="0" w:space="0" w:color="auto" w:frame="1"/>
        </w:rPr>
        <w:t>Barriers to accessing health services include:</w:t>
      </w:r>
    </w:p>
    <w:p w:rsidR="0045621E" w:rsidRPr="0045621E" w:rsidRDefault="0045621E" w:rsidP="0045621E">
      <w:pPr>
        <w:numPr>
          <w:ilvl w:val="0"/>
          <w:numId w:val="6"/>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Lack of availability</w:t>
      </w:r>
    </w:p>
    <w:p w:rsidR="0045621E" w:rsidRPr="0045621E" w:rsidRDefault="0045621E" w:rsidP="0045621E">
      <w:pPr>
        <w:numPr>
          <w:ilvl w:val="0"/>
          <w:numId w:val="6"/>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High cost</w:t>
      </w:r>
    </w:p>
    <w:p w:rsidR="0045621E" w:rsidRPr="0045621E" w:rsidRDefault="0045621E" w:rsidP="0045621E">
      <w:pPr>
        <w:numPr>
          <w:ilvl w:val="0"/>
          <w:numId w:val="6"/>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Lack of insurance coverage</w:t>
      </w:r>
    </w:p>
    <w:p w:rsidR="0045621E" w:rsidRPr="0045621E" w:rsidRDefault="0045621E" w:rsidP="0045621E">
      <w:pPr>
        <w:numPr>
          <w:ilvl w:val="0"/>
          <w:numId w:val="6"/>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Limited language access</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These barriers to accessing health services lead to:</w:t>
      </w:r>
    </w:p>
    <w:p w:rsidR="0045621E" w:rsidRPr="0045621E" w:rsidRDefault="0045621E" w:rsidP="0045621E">
      <w:pPr>
        <w:numPr>
          <w:ilvl w:val="0"/>
          <w:numId w:val="7"/>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Unmet health needs</w:t>
      </w:r>
    </w:p>
    <w:p w:rsidR="0045621E" w:rsidRPr="0045621E" w:rsidRDefault="0045621E" w:rsidP="0045621E">
      <w:pPr>
        <w:numPr>
          <w:ilvl w:val="0"/>
          <w:numId w:val="7"/>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Delays in receiving appropriate care</w:t>
      </w:r>
    </w:p>
    <w:p w:rsidR="0045621E" w:rsidRPr="0045621E" w:rsidRDefault="0045621E" w:rsidP="0045621E">
      <w:pPr>
        <w:numPr>
          <w:ilvl w:val="0"/>
          <w:numId w:val="7"/>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Inability to get preventive services</w:t>
      </w:r>
    </w:p>
    <w:p w:rsidR="0045621E" w:rsidRPr="0045621E" w:rsidRDefault="0045621E" w:rsidP="0045621E">
      <w:pPr>
        <w:numPr>
          <w:ilvl w:val="0"/>
          <w:numId w:val="7"/>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Hospitalizations that could have been prevented</w:t>
      </w:r>
    </w:p>
    <w:p w:rsidR="0045621E" w:rsidRPr="0045621E" w:rsidRDefault="0045621E" w:rsidP="0045621E">
      <w:pPr>
        <w:spacing w:after="0" w:line="300" w:lineRule="atLeast"/>
        <w:textAlignment w:val="baseline"/>
        <w:outlineLvl w:val="2"/>
        <w:rPr>
          <w:rFonts w:ascii="Arial" w:eastAsia="Times New Roman" w:hAnsi="Arial" w:cs="Arial"/>
          <w:b/>
          <w:bCs/>
          <w:color w:val="2D856C"/>
          <w:sz w:val="26"/>
          <w:szCs w:val="26"/>
        </w:rPr>
      </w:pPr>
      <w:bookmarkStart w:id="5" w:name="individual_behavior"/>
      <w:bookmarkEnd w:id="5"/>
      <w:r w:rsidRPr="0045621E">
        <w:rPr>
          <w:rFonts w:ascii="Arial" w:eastAsia="Times New Roman" w:hAnsi="Arial" w:cs="Arial"/>
          <w:b/>
          <w:bCs/>
          <w:color w:val="2D856C"/>
          <w:sz w:val="26"/>
          <w:szCs w:val="26"/>
          <w:bdr w:val="none" w:sz="0" w:space="0" w:color="auto" w:frame="1"/>
        </w:rPr>
        <w:t>Individual Behavior</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Individual behavior also plays a role in health outcomes. For example, if an individual quits smoking, his or her risk of developing heart disease is greatly reduced.</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Many public health and health care interventions focus on changing individual behaviors such as substance abuse, diet, and physical activity. Positive changes in individual behavior can reduce the rates of chronic disease in this country.</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Examples of </w:t>
      </w:r>
      <w:r w:rsidRPr="0045621E">
        <w:rPr>
          <w:rFonts w:ascii="Arial" w:eastAsia="Times New Roman" w:hAnsi="Arial" w:cs="Arial"/>
          <w:i/>
          <w:iCs/>
          <w:color w:val="000000"/>
          <w:sz w:val="21"/>
          <w:szCs w:val="21"/>
          <w:bdr w:val="none" w:sz="0" w:space="0" w:color="auto" w:frame="1"/>
        </w:rPr>
        <w:t>individual behavior determinants</w:t>
      </w:r>
      <w:r w:rsidRPr="0045621E">
        <w:rPr>
          <w:rFonts w:ascii="Arial" w:eastAsia="Times New Roman" w:hAnsi="Arial" w:cs="Arial"/>
          <w:color w:val="000000"/>
          <w:sz w:val="21"/>
          <w:szCs w:val="21"/>
        </w:rPr>
        <w:t> of health include:</w:t>
      </w:r>
    </w:p>
    <w:p w:rsidR="0045621E" w:rsidRPr="0045621E" w:rsidRDefault="0045621E" w:rsidP="0045621E">
      <w:pPr>
        <w:numPr>
          <w:ilvl w:val="0"/>
          <w:numId w:val="8"/>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Diet</w:t>
      </w:r>
    </w:p>
    <w:p w:rsidR="0045621E" w:rsidRPr="0045621E" w:rsidRDefault="0045621E" w:rsidP="0045621E">
      <w:pPr>
        <w:numPr>
          <w:ilvl w:val="0"/>
          <w:numId w:val="8"/>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Physical activity</w:t>
      </w:r>
    </w:p>
    <w:p w:rsidR="0045621E" w:rsidRPr="0045621E" w:rsidRDefault="0045621E" w:rsidP="0045621E">
      <w:pPr>
        <w:numPr>
          <w:ilvl w:val="0"/>
          <w:numId w:val="8"/>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Alcohol, cigarette, and other drug use</w:t>
      </w:r>
    </w:p>
    <w:p w:rsidR="0045621E" w:rsidRPr="0045621E" w:rsidRDefault="0045621E" w:rsidP="0045621E">
      <w:pPr>
        <w:numPr>
          <w:ilvl w:val="0"/>
          <w:numId w:val="8"/>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Hand washing</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hyperlink r:id="rId17" w:anchor="top" w:history="1">
        <w:r w:rsidRPr="0045621E">
          <w:rPr>
            <w:rFonts w:ascii="Arial" w:eastAsia="Times New Roman" w:hAnsi="Arial" w:cs="Arial"/>
            <w:b/>
            <w:bCs/>
            <w:color w:val="006C9F"/>
            <w:sz w:val="21"/>
            <w:szCs w:val="21"/>
            <w:u w:val="single"/>
            <w:bdr w:val="none" w:sz="0" w:space="0" w:color="auto" w:frame="1"/>
          </w:rPr>
          <w:t>Back to Top</w:t>
        </w:r>
      </w:hyperlink>
    </w:p>
    <w:p w:rsidR="0045621E" w:rsidRPr="0045621E" w:rsidRDefault="0045621E" w:rsidP="0045621E">
      <w:pPr>
        <w:spacing w:after="0" w:line="300" w:lineRule="atLeast"/>
        <w:textAlignment w:val="baseline"/>
        <w:outlineLvl w:val="2"/>
        <w:rPr>
          <w:rFonts w:ascii="Arial" w:eastAsia="Times New Roman" w:hAnsi="Arial" w:cs="Arial"/>
          <w:b/>
          <w:bCs/>
          <w:color w:val="2D856C"/>
          <w:sz w:val="26"/>
          <w:szCs w:val="26"/>
        </w:rPr>
      </w:pPr>
      <w:bookmarkStart w:id="6" w:name="biology_and_genetics"/>
      <w:bookmarkEnd w:id="6"/>
      <w:r w:rsidRPr="0045621E">
        <w:rPr>
          <w:rFonts w:ascii="Arial" w:eastAsia="Times New Roman" w:hAnsi="Arial" w:cs="Arial"/>
          <w:b/>
          <w:bCs/>
          <w:color w:val="2D856C"/>
          <w:sz w:val="26"/>
          <w:szCs w:val="26"/>
          <w:bdr w:val="none" w:sz="0" w:space="0" w:color="auto" w:frame="1"/>
        </w:rPr>
        <w:t>Biology and Genetics</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Some biological and genetic factors affect specific populations more than others. For example, older adults are biologically prone to being in poorer health than adolescents due to the physical and cognitive effects of aging.</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 xml:space="preserve">Sickle cell disease is a common example of a genetic determinant of health. Sickle cell is a condition that people inherit when both parents carry the gene for sickle cell. The gene is most common in </w:t>
      </w:r>
      <w:r w:rsidRPr="0045621E">
        <w:rPr>
          <w:rFonts w:ascii="Arial" w:eastAsia="Times New Roman" w:hAnsi="Arial" w:cs="Arial"/>
          <w:color w:val="000000"/>
          <w:sz w:val="21"/>
          <w:szCs w:val="21"/>
        </w:rPr>
        <w:lastRenderedPageBreak/>
        <w:t>people with ancestors from West African countries, Mediterranean countries, South or Central American countries, Caribbean islands, India, and Saudi Arabia.</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Examples of </w:t>
      </w:r>
      <w:r w:rsidRPr="0045621E">
        <w:rPr>
          <w:rFonts w:ascii="Arial" w:eastAsia="Times New Roman" w:hAnsi="Arial" w:cs="Arial"/>
          <w:i/>
          <w:iCs/>
          <w:color w:val="000000"/>
          <w:sz w:val="21"/>
          <w:szCs w:val="21"/>
          <w:bdr w:val="none" w:sz="0" w:space="0" w:color="auto" w:frame="1"/>
        </w:rPr>
        <w:t>biological</w:t>
      </w:r>
      <w:r w:rsidRPr="0045621E">
        <w:rPr>
          <w:rFonts w:ascii="Arial" w:eastAsia="Times New Roman" w:hAnsi="Arial" w:cs="Arial"/>
          <w:color w:val="000000"/>
          <w:sz w:val="21"/>
          <w:szCs w:val="21"/>
        </w:rPr>
        <w:t> and </w:t>
      </w:r>
      <w:r w:rsidRPr="0045621E">
        <w:rPr>
          <w:rFonts w:ascii="Arial" w:eastAsia="Times New Roman" w:hAnsi="Arial" w:cs="Arial"/>
          <w:i/>
          <w:iCs/>
          <w:color w:val="000000"/>
          <w:sz w:val="21"/>
          <w:szCs w:val="21"/>
          <w:bdr w:val="none" w:sz="0" w:space="0" w:color="auto" w:frame="1"/>
        </w:rPr>
        <w:t>genetic social determinants</w:t>
      </w:r>
      <w:r w:rsidRPr="0045621E">
        <w:rPr>
          <w:rFonts w:ascii="Arial" w:eastAsia="Times New Roman" w:hAnsi="Arial" w:cs="Arial"/>
          <w:color w:val="000000"/>
          <w:sz w:val="21"/>
          <w:szCs w:val="21"/>
        </w:rPr>
        <w:t> of health include:</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Age</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Sex</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HIV status</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Inherited conditions, such as sickle-cell anemia, hemophilia, and cystic fibrosis</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Carrying the BRCA1 or BRCA2 gene, which increases risk for breast and ovarian cancer</w:t>
      </w:r>
    </w:p>
    <w:p w:rsidR="0045621E" w:rsidRPr="0045621E" w:rsidRDefault="0045621E" w:rsidP="0045621E">
      <w:pPr>
        <w:numPr>
          <w:ilvl w:val="0"/>
          <w:numId w:val="9"/>
        </w:numPr>
        <w:spacing w:after="0" w:line="300" w:lineRule="atLeast"/>
        <w:ind w:left="120"/>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Family history of heart disease</w:t>
      </w:r>
    </w:p>
    <w:p w:rsidR="0045621E" w:rsidRPr="0045621E" w:rsidRDefault="0045621E" w:rsidP="0045621E">
      <w:pPr>
        <w:spacing w:after="0" w:line="300" w:lineRule="atLeast"/>
        <w:textAlignment w:val="baseline"/>
        <w:outlineLvl w:val="1"/>
        <w:rPr>
          <w:rFonts w:ascii="Arial" w:eastAsia="Times New Roman" w:hAnsi="Arial" w:cs="Arial"/>
          <w:b/>
          <w:bCs/>
          <w:color w:val="2D856C"/>
          <w:sz w:val="27"/>
          <w:szCs w:val="27"/>
        </w:rPr>
      </w:pPr>
      <w:r w:rsidRPr="0045621E">
        <w:rPr>
          <w:rFonts w:ascii="Arial" w:eastAsia="Times New Roman" w:hAnsi="Arial" w:cs="Arial"/>
          <w:b/>
          <w:bCs/>
          <w:color w:val="2D856C"/>
          <w:sz w:val="27"/>
          <w:szCs w:val="27"/>
          <w:bdr w:val="none" w:sz="0" w:space="0" w:color="auto" w:frame="1"/>
        </w:rPr>
        <w:t>References</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bookmarkStart w:id="7" w:name="1"/>
      <w:r w:rsidRPr="0045621E">
        <w:rPr>
          <w:rFonts w:ascii="Arial" w:eastAsia="Times New Roman" w:hAnsi="Arial" w:cs="Arial"/>
          <w:b/>
          <w:bCs/>
          <w:color w:val="004D7E"/>
          <w:sz w:val="15"/>
          <w:szCs w:val="15"/>
          <w:bdr w:val="none" w:sz="0" w:space="0" w:color="auto" w:frame="1"/>
        </w:rPr>
        <w:t>1</w:t>
      </w:r>
      <w:bookmarkEnd w:id="7"/>
      <w:r w:rsidRPr="0045621E">
        <w:rPr>
          <w:rFonts w:ascii="Arial" w:eastAsia="Times New Roman" w:hAnsi="Arial" w:cs="Arial"/>
          <w:color w:val="000000"/>
          <w:sz w:val="21"/>
          <w:szCs w:val="21"/>
        </w:rPr>
        <w:t>Centers for Disease Control and Prevention. Achievements in public health, 1900–1999 motor-vehicle safety: A 20th century public health achievement [Internet]. MMWR Weekly. 1999 May 14</w:t>
      </w:r>
      <w:proofErr w:type="gramStart"/>
      <w:r w:rsidRPr="0045621E">
        <w:rPr>
          <w:rFonts w:ascii="Arial" w:eastAsia="Times New Roman" w:hAnsi="Arial" w:cs="Arial"/>
          <w:color w:val="000000"/>
          <w:sz w:val="21"/>
          <w:szCs w:val="21"/>
        </w:rPr>
        <w:t>;48</w:t>
      </w:r>
      <w:proofErr w:type="gramEnd"/>
      <w:r w:rsidRPr="0045621E">
        <w:rPr>
          <w:rFonts w:ascii="Arial" w:eastAsia="Times New Roman" w:hAnsi="Arial" w:cs="Arial"/>
          <w:color w:val="000000"/>
          <w:sz w:val="21"/>
          <w:szCs w:val="21"/>
        </w:rPr>
        <w:t>(18);369–74 [cited 2010 August 27]. Available from: </w:t>
      </w:r>
      <w:hyperlink r:id="rId18" w:history="1">
        <w:r w:rsidRPr="0045621E">
          <w:rPr>
            <w:rFonts w:ascii="Arial" w:eastAsia="Times New Roman" w:hAnsi="Arial" w:cs="Arial"/>
            <w:b/>
            <w:bCs/>
            <w:color w:val="006C9F"/>
            <w:sz w:val="21"/>
            <w:szCs w:val="21"/>
            <w:u w:val="single"/>
            <w:bdr w:val="none" w:sz="0" w:space="0" w:color="auto" w:frame="1"/>
          </w:rPr>
          <w:t>http://www.cdc.gov/mmwr/preview/mmwrhtml/mm4818a1.htm</w:t>
        </w:r>
      </w:hyperlink>
      <w:r w:rsidRPr="0045621E">
        <w:rPr>
          <w:rFonts w:ascii="Arial" w:eastAsia="Times New Roman" w:hAnsi="Arial" w:cs="Arial"/>
          <w:color w:val="000000"/>
          <w:sz w:val="21"/>
          <w:szCs w:val="21"/>
        </w:rPr>
        <w:t>.</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bookmarkStart w:id="8" w:name="2"/>
      <w:r w:rsidRPr="0045621E">
        <w:rPr>
          <w:rFonts w:ascii="Arial" w:eastAsia="Times New Roman" w:hAnsi="Arial" w:cs="Arial"/>
          <w:b/>
          <w:bCs/>
          <w:color w:val="004D7E"/>
          <w:sz w:val="15"/>
          <w:szCs w:val="15"/>
          <w:bdr w:val="none" w:sz="0" w:space="0" w:color="auto" w:frame="1"/>
        </w:rPr>
        <w:t>2</w:t>
      </w:r>
      <w:bookmarkEnd w:id="8"/>
      <w:r w:rsidRPr="0045621E">
        <w:rPr>
          <w:rFonts w:ascii="Arial" w:eastAsia="Times New Roman" w:hAnsi="Arial" w:cs="Arial"/>
          <w:color w:val="000000"/>
          <w:sz w:val="21"/>
          <w:szCs w:val="21"/>
        </w:rPr>
        <w:t>State of the Air [Internet]. Washington, DC: American Lung Association. Available from: </w:t>
      </w:r>
      <w:hyperlink r:id="rId19" w:history="1">
        <w:r w:rsidRPr="0045621E">
          <w:rPr>
            <w:rFonts w:ascii="Arial" w:eastAsia="Times New Roman" w:hAnsi="Arial" w:cs="Arial"/>
            <w:b/>
            <w:bCs/>
            <w:color w:val="006C9F"/>
            <w:sz w:val="21"/>
            <w:szCs w:val="21"/>
            <w:u w:val="single"/>
            <w:bdr w:val="none" w:sz="0" w:space="0" w:color="auto" w:frame="1"/>
          </w:rPr>
          <w:t>http://www.stateoftheair.org</w:t>
        </w:r>
      </w:hyperlink>
      <w:r w:rsidRPr="0045621E">
        <w:rPr>
          <w:rFonts w:ascii="Arial" w:eastAsia="Times New Roman" w:hAnsi="Arial" w:cs="Arial"/>
          <w:b/>
          <w:bCs/>
          <w:noProof/>
          <w:color w:val="006C9F"/>
          <w:sz w:val="21"/>
          <w:szCs w:val="21"/>
          <w:bdr w:val="none" w:sz="0" w:space="0" w:color="auto" w:frame="1"/>
        </w:rPr>
        <w:drawing>
          <wp:inline distT="0" distB="0" distL="0" distR="0" wp14:anchorId="140CCF71" wp14:editId="5A114171">
            <wp:extent cx="133350" cy="133350"/>
            <wp:effectExtent l="0" t="0" r="0" b="0"/>
            <wp:docPr id="1" name="Picture 1" descr="External Web Site Policy">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nal Web Site Policy">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5621E">
        <w:rPr>
          <w:rFonts w:ascii="Arial" w:eastAsia="Times New Roman" w:hAnsi="Arial" w:cs="Arial"/>
          <w:color w:val="000000"/>
          <w:sz w:val="21"/>
          <w:szCs w:val="21"/>
        </w:rPr>
        <w:t>.</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bookmarkStart w:id="9" w:name="3"/>
      <w:r w:rsidRPr="0045621E">
        <w:rPr>
          <w:rFonts w:ascii="Arial" w:eastAsia="Times New Roman" w:hAnsi="Arial" w:cs="Arial"/>
          <w:b/>
          <w:bCs/>
          <w:color w:val="004D7E"/>
          <w:sz w:val="15"/>
          <w:szCs w:val="15"/>
          <w:bdr w:val="none" w:sz="0" w:space="0" w:color="auto" w:frame="1"/>
        </w:rPr>
        <w:t>3</w:t>
      </w:r>
      <w:bookmarkEnd w:id="9"/>
      <w:r w:rsidRPr="0045621E">
        <w:rPr>
          <w:rFonts w:ascii="Arial" w:eastAsia="Times New Roman" w:hAnsi="Arial" w:cs="Arial"/>
          <w:color w:val="000000"/>
          <w:sz w:val="21"/>
          <w:szCs w:val="21"/>
        </w:rPr>
        <w:t>Agency for Healthcare Research and Quality (AHRQ). National healthcare disparities report, 2008. Rockville (MD): U.S. Department of Health and Human Services, AHRQ; 2009 Mar. Pub no. 09-002. Available from: </w:t>
      </w:r>
      <w:hyperlink r:id="rId22" w:history="1">
        <w:r w:rsidRPr="0045621E">
          <w:rPr>
            <w:rFonts w:ascii="Arial" w:eastAsia="Times New Roman" w:hAnsi="Arial" w:cs="Arial"/>
            <w:b/>
            <w:bCs/>
            <w:color w:val="006C9F"/>
            <w:sz w:val="21"/>
            <w:szCs w:val="21"/>
            <w:u w:val="single"/>
            <w:bdr w:val="none" w:sz="0" w:space="0" w:color="auto" w:frame="1"/>
          </w:rPr>
          <w:t>http://www.ahrq.gov/qual/nhdr08/nhdr08.pdf [PDF – 2.6 MB]</w:t>
        </w:r>
      </w:hyperlink>
      <w:r w:rsidRPr="0045621E">
        <w:rPr>
          <w:rFonts w:ascii="Arial" w:eastAsia="Times New Roman" w:hAnsi="Arial" w:cs="Arial"/>
          <w:color w:val="000000"/>
          <w:sz w:val="21"/>
          <w:szCs w:val="21"/>
        </w:rPr>
        <w:t>.</w:t>
      </w:r>
    </w:p>
    <w:p w:rsidR="0045621E" w:rsidRPr="0045621E" w:rsidRDefault="0045621E" w:rsidP="0045621E">
      <w:pPr>
        <w:spacing w:after="75" w:line="300" w:lineRule="atLeast"/>
        <w:textAlignment w:val="baseline"/>
        <w:outlineLvl w:val="1"/>
        <w:rPr>
          <w:rFonts w:ascii="Arial" w:eastAsia="Times New Roman" w:hAnsi="Arial" w:cs="Arial"/>
          <w:b/>
          <w:bCs/>
          <w:color w:val="2D856C"/>
          <w:sz w:val="27"/>
          <w:szCs w:val="27"/>
        </w:rPr>
      </w:pPr>
      <w:r w:rsidRPr="0045621E">
        <w:rPr>
          <w:rFonts w:ascii="Arial" w:eastAsia="Times New Roman" w:hAnsi="Arial" w:cs="Arial"/>
          <w:b/>
          <w:bCs/>
          <w:color w:val="2D856C"/>
          <w:sz w:val="27"/>
          <w:szCs w:val="27"/>
        </w:rPr>
        <w:t>Additional Resources</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Commission on Social Determinants of Health. Closing the gap in a generation: Health equity through action on the social determinants of health [Internet]. Geneva: World Health Organization; 2008 [cited 2010 May 10]. Available from: </w:t>
      </w:r>
      <w:hyperlink r:id="rId23" w:history="1">
        <w:r w:rsidRPr="0045621E">
          <w:rPr>
            <w:rFonts w:ascii="Arial" w:eastAsia="Times New Roman" w:hAnsi="Arial" w:cs="Arial"/>
            <w:b/>
            <w:bCs/>
            <w:color w:val="006C9F"/>
            <w:sz w:val="21"/>
            <w:szCs w:val="21"/>
            <w:u w:val="single"/>
            <w:bdr w:val="none" w:sz="0" w:space="0" w:color="auto" w:frame="1"/>
          </w:rPr>
          <w:t>http://whqlibdoc.who.int/hq/2008/WHO_IER_CSDH_08.1_eng.pdf [PDF – 4.3 MB]</w:t>
        </w:r>
      </w:hyperlink>
      <w:r w:rsidRPr="0045621E">
        <w:rPr>
          <w:rFonts w:ascii="Arial" w:eastAsia="Times New Roman" w:hAnsi="Arial" w:cs="Arial"/>
          <w:b/>
          <w:bCs/>
          <w:noProof/>
          <w:color w:val="006C9F"/>
          <w:sz w:val="21"/>
          <w:szCs w:val="21"/>
          <w:bdr w:val="none" w:sz="0" w:space="0" w:color="auto" w:frame="1"/>
        </w:rPr>
        <w:drawing>
          <wp:inline distT="0" distB="0" distL="0" distR="0" wp14:anchorId="4A7EDC92" wp14:editId="165FF15B">
            <wp:extent cx="133350" cy="133350"/>
            <wp:effectExtent l="0" t="0" r="0" b="0"/>
            <wp:docPr id="2" name="Picture 2" descr="External Web Site Policy">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nal Web Site Policy">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5621E">
        <w:rPr>
          <w:rFonts w:ascii="Arial" w:eastAsia="Times New Roman" w:hAnsi="Arial" w:cs="Arial"/>
          <w:color w:val="000000"/>
          <w:sz w:val="21"/>
          <w:szCs w:val="21"/>
        </w:rPr>
        <w:t>.</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Harris K, Holden C, Chen M. Background information on national indicators for social determinants of health. Paper presented to the Secretary’s Advisory Committee on National Health Promotion and Disease Prevention Objectives for 2020, National Opinion Research Center; January 5, 2010.</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Institute of Medicine. Unequal treatment: Confronting racial and ethnic disparities in health. Washington, DC: National Academies Press; 2003.</w:t>
      </w:r>
    </w:p>
    <w:p w:rsidR="0045621E" w:rsidRPr="0045621E" w:rsidRDefault="0045621E" w:rsidP="0045621E">
      <w:pPr>
        <w:spacing w:after="375"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t>U.S. Department of Health and Human Services. Draft report of the Secretary’s Advisory Committee on National Health Promotion and Disease Prevention Objectives for 2020 on Social Determinants; revised 2009 Sep 9.</w:t>
      </w:r>
    </w:p>
    <w:p w:rsidR="0045621E" w:rsidRPr="0045621E" w:rsidRDefault="0045621E" w:rsidP="0045621E">
      <w:pPr>
        <w:spacing w:after="0" w:line="360" w:lineRule="atLeast"/>
        <w:textAlignment w:val="baseline"/>
        <w:rPr>
          <w:rFonts w:ascii="Arial" w:eastAsia="Times New Roman" w:hAnsi="Arial" w:cs="Arial"/>
          <w:color w:val="000000"/>
          <w:sz w:val="21"/>
          <w:szCs w:val="21"/>
        </w:rPr>
      </w:pPr>
      <w:r w:rsidRPr="0045621E">
        <w:rPr>
          <w:rFonts w:ascii="Arial" w:eastAsia="Times New Roman" w:hAnsi="Arial" w:cs="Arial"/>
          <w:color w:val="000000"/>
          <w:sz w:val="21"/>
          <w:szCs w:val="21"/>
        </w:rPr>
        <w:lastRenderedPageBreak/>
        <w:t>Wilkinson R, Marmot M, editors. Social determinants of health: The solid facts [Internet]. 2nd ed. Copenhagen: World Health Organization; 2003 [cited 2010 May 26]. Available from: </w:t>
      </w:r>
      <w:hyperlink r:id="rId24" w:history="1">
        <w:r w:rsidRPr="0045621E">
          <w:rPr>
            <w:rFonts w:ascii="Arial" w:eastAsia="Times New Roman" w:hAnsi="Arial" w:cs="Arial"/>
            <w:b/>
            <w:bCs/>
            <w:color w:val="006C9F"/>
            <w:sz w:val="20"/>
            <w:szCs w:val="20"/>
            <w:u w:val="single"/>
            <w:bdr w:val="none" w:sz="0" w:space="0" w:color="auto" w:frame="1"/>
          </w:rPr>
          <w:t>http://www.euro.who.int/__data/assets/pdf_file/0005/98438/e81384.pdf [PDF – 470 KB]</w:t>
        </w:r>
      </w:hyperlink>
      <w:r w:rsidRPr="0045621E">
        <w:rPr>
          <w:rFonts w:ascii="Arial" w:eastAsia="Times New Roman" w:hAnsi="Arial" w:cs="Arial"/>
          <w:b/>
          <w:bCs/>
          <w:noProof/>
          <w:color w:val="006C9F"/>
          <w:sz w:val="20"/>
          <w:szCs w:val="20"/>
          <w:bdr w:val="none" w:sz="0" w:space="0" w:color="auto" w:frame="1"/>
        </w:rPr>
        <w:drawing>
          <wp:inline distT="0" distB="0" distL="0" distR="0" wp14:anchorId="7FE0A18E" wp14:editId="1AF93A21">
            <wp:extent cx="133350" cy="133350"/>
            <wp:effectExtent l="0" t="0" r="0" b="0"/>
            <wp:docPr id="3" name="Picture 3" descr="External Web Site Policy">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ternal Web Site Policy">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5621E">
        <w:rPr>
          <w:rFonts w:ascii="Arial" w:eastAsia="Times New Roman" w:hAnsi="Arial" w:cs="Arial"/>
          <w:color w:val="000000"/>
          <w:sz w:val="20"/>
          <w:szCs w:val="20"/>
          <w:bdr w:val="none" w:sz="0" w:space="0" w:color="auto" w:frame="1"/>
        </w:rPr>
        <w:t>.</w:t>
      </w:r>
    </w:p>
    <w:p w:rsidR="0045621E" w:rsidRPr="0045621E" w:rsidRDefault="0045621E" w:rsidP="0045621E">
      <w:pPr>
        <w:spacing w:line="360" w:lineRule="atLeast"/>
        <w:textAlignment w:val="baseline"/>
        <w:rPr>
          <w:rFonts w:ascii="Arial" w:eastAsia="Times New Roman" w:hAnsi="Arial" w:cs="Arial"/>
          <w:color w:val="000000"/>
          <w:sz w:val="21"/>
          <w:szCs w:val="21"/>
        </w:rPr>
      </w:pPr>
      <w:hyperlink r:id="rId25" w:anchor="top" w:history="1">
        <w:r w:rsidRPr="0045621E">
          <w:rPr>
            <w:rFonts w:ascii="Arial" w:eastAsia="Times New Roman" w:hAnsi="Arial" w:cs="Arial"/>
            <w:b/>
            <w:bCs/>
            <w:color w:val="006C9F"/>
            <w:sz w:val="21"/>
            <w:szCs w:val="21"/>
            <w:u w:val="single"/>
            <w:bdr w:val="none" w:sz="0" w:space="0" w:color="auto" w:frame="1"/>
          </w:rPr>
          <w:t>Back to Top</w:t>
        </w:r>
      </w:hyperlink>
    </w:p>
    <w:p w:rsidR="0045621E" w:rsidRPr="0045621E" w:rsidRDefault="0045621E" w:rsidP="0045621E">
      <w:pPr>
        <w:shd w:val="clear" w:color="auto" w:fill="1D4B7C"/>
        <w:spacing w:after="0" w:line="300" w:lineRule="atLeast"/>
        <w:textAlignment w:val="baseline"/>
        <w:rPr>
          <w:rFonts w:ascii="Helvetica" w:eastAsia="Times New Roman" w:hAnsi="Helvetica" w:cs="Helvetica"/>
          <w:b/>
          <w:bCs/>
          <w:color w:val="FFFFFF"/>
          <w:sz w:val="27"/>
          <w:szCs w:val="27"/>
        </w:rPr>
      </w:pPr>
      <w:r w:rsidRPr="0045621E">
        <w:rPr>
          <w:rFonts w:ascii="Helvetica" w:eastAsia="Times New Roman" w:hAnsi="Helvetica" w:cs="Helvetica"/>
          <w:b/>
          <w:bCs/>
          <w:color w:val="FFFFFF"/>
          <w:sz w:val="27"/>
          <w:szCs w:val="27"/>
        </w:rPr>
        <w:t>Find us on:</w:t>
      </w:r>
    </w:p>
    <w:p w:rsidR="0045621E" w:rsidRPr="0045621E" w:rsidRDefault="0045621E" w:rsidP="0045621E">
      <w:pPr>
        <w:spacing w:after="0" w:line="300" w:lineRule="atLeast"/>
        <w:textAlignment w:val="baseline"/>
        <w:rPr>
          <w:rFonts w:ascii="Helvetica" w:eastAsia="Times New Roman" w:hAnsi="Helvetica" w:cs="Helvetica"/>
          <w:color w:val="FFFFFF"/>
          <w:sz w:val="20"/>
          <w:szCs w:val="20"/>
        </w:rPr>
      </w:pPr>
      <w:r w:rsidRPr="0045621E">
        <w:rPr>
          <w:rFonts w:ascii="Helvetica" w:eastAsia="Times New Roman" w:hAnsi="Helvetica" w:cs="Helvetica"/>
          <w:noProof/>
          <w:color w:val="4B2B80"/>
          <w:sz w:val="20"/>
          <w:szCs w:val="20"/>
          <w:bdr w:val="none" w:sz="0" w:space="0" w:color="auto" w:frame="1"/>
        </w:rPr>
        <w:drawing>
          <wp:inline distT="0" distB="0" distL="0" distR="0" wp14:anchorId="67A2C097" wp14:editId="5AC34A4A">
            <wp:extent cx="342900" cy="342900"/>
            <wp:effectExtent l="0" t="0" r="0" b="0"/>
            <wp:docPr id="4" name="Picture 4" descr="Twitter">
              <a:hlinkClick xmlns:a="http://schemas.openxmlformats.org/drawingml/2006/main" r:id="rId26" tooltip="&quot;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tter">
                      <a:hlinkClick r:id="rId26" tooltip="&quot;Twitter&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45621E">
        <w:rPr>
          <w:rFonts w:ascii="Helvetica" w:eastAsia="Times New Roman" w:hAnsi="Helvetica" w:cs="Helvetica"/>
          <w:noProof/>
          <w:color w:val="4B2B80"/>
          <w:sz w:val="20"/>
          <w:szCs w:val="20"/>
          <w:bdr w:val="none" w:sz="0" w:space="0" w:color="auto" w:frame="1"/>
        </w:rPr>
        <w:drawing>
          <wp:inline distT="0" distB="0" distL="0" distR="0" wp14:anchorId="69C3525F" wp14:editId="543E968E">
            <wp:extent cx="342900" cy="342900"/>
            <wp:effectExtent l="0" t="0" r="0" b="0"/>
            <wp:docPr id="5" name="Picture 5" descr="You Tube">
              <a:hlinkClick xmlns:a="http://schemas.openxmlformats.org/drawingml/2006/main" r:id="rId28" tooltip="&quot;Youtub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 Tube">
                      <a:hlinkClick r:id="rId28" tooltip="&quot;Youtube&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p w:rsidR="0045621E" w:rsidRPr="0045621E" w:rsidRDefault="0045621E" w:rsidP="0045621E">
      <w:pPr>
        <w:pBdr>
          <w:bottom w:val="single" w:sz="6" w:space="1" w:color="auto"/>
        </w:pBdr>
        <w:spacing w:after="0" w:line="240" w:lineRule="auto"/>
        <w:jc w:val="center"/>
        <w:rPr>
          <w:rFonts w:ascii="Arial" w:eastAsia="Times New Roman" w:hAnsi="Arial" w:cs="Arial"/>
          <w:vanish/>
          <w:sz w:val="16"/>
          <w:szCs w:val="16"/>
        </w:rPr>
      </w:pPr>
      <w:r w:rsidRPr="0045621E">
        <w:rPr>
          <w:rFonts w:ascii="Arial" w:eastAsia="Times New Roman" w:hAnsi="Arial" w:cs="Arial"/>
          <w:vanish/>
          <w:sz w:val="16"/>
          <w:szCs w:val="16"/>
        </w:rPr>
        <w:t>Top of Form</w:t>
      </w:r>
    </w:p>
    <w:p w:rsidR="0045621E" w:rsidRPr="0045621E" w:rsidRDefault="0045621E" w:rsidP="0045621E">
      <w:pPr>
        <w:spacing w:after="0" w:line="300" w:lineRule="atLeast"/>
        <w:textAlignment w:val="baseline"/>
        <w:rPr>
          <w:rFonts w:ascii="Helvetica" w:eastAsia="Times New Roman" w:hAnsi="Helvetica" w:cs="Helvetica"/>
          <w:b/>
          <w:bCs/>
          <w:color w:val="FFFFFF"/>
          <w:sz w:val="27"/>
          <w:szCs w:val="27"/>
        </w:rPr>
      </w:pPr>
      <w:r w:rsidRPr="0045621E">
        <w:rPr>
          <w:rFonts w:ascii="Helvetica" w:eastAsia="Times New Roman" w:hAnsi="Helvetica" w:cs="Helvetica"/>
          <w:b/>
          <w:bCs/>
          <w:color w:val="FFFFFF"/>
          <w:sz w:val="27"/>
          <w:szCs w:val="27"/>
        </w:rPr>
        <w:t>Enter your email for updates:</w:t>
      </w:r>
      <w:r w:rsidRPr="0045621E">
        <w:rPr>
          <w:rFonts w:ascii="Helvetica" w:eastAsia="Times New Roman" w:hAnsi="Helvetica" w:cs="Helvetica"/>
          <w:b/>
          <w:bCs/>
          <w:color w:val="FFFFFF"/>
          <w:sz w:val="27"/>
          <w:szCs w:val="27"/>
        </w:rPr>
        <w:object w:dxaOrig="32" w:dyaOrig="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2pt;height:18pt" o:ole="">
            <v:imagedata r:id="rId30" o:title=""/>
          </v:shape>
          <w:control r:id="rId31" w:name="DefaultOcxName" w:shapeid="_x0000_i1030"/>
        </w:object>
      </w:r>
    </w:p>
    <w:p w:rsidR="0045621E" w:rsidRPr="0045621E" w:rsidRDefault="0045621E" w:rsidP="0045621E">
      <w:pPr>
        <w:shd w:val="clear" w:color="auto" w:fill="FDB72A"/>
        <w:spacing w:after="0" w:line="300" w:lineRule="atLeast"/>
        <w:textAlignment w:val="baseline"/>
        <w:rPr>
          <w:rFonts w:ascii="Helvetica" w:eastAsia="Times New Roman" w:hAnsi="Helvetica" w:cs="Helvetica"/>
          <w:b/>
          <w:bCs/>
          <w:color w:val="FFFFFF"/>
          <w:sz w:val="21"/>
          <w:szCs w:val="21"/>
        </w:rPr>
      </w:pPr>
      <w:r w:rsidRPr="0045621E">
        <w:rPr>
          <w:rFonts w:ascii="Helvetica" w:eastAsia="Times New Roman" w:hAnsi="Helvetica" w:cs="Helvetica"/>
          <w:b/>
          <w:bCs/>
          <w:color w:val="FFFFFF"/>
          <w:sz w:val="21"/>
          <w:szCs w:val="21"/>
        </w:rPr>
        <w:object w:dxaOrig="32" w:dyaOrig="111">
          <v:shape id="_x0000_i1029" type="#_x0000_t75" style="width:40.5pt;height:22.5pt" o:ole="">
            <v:imagedata r:id="rId32" o:title=""/>
          </v:shape>
          <w:control r:id="rId33" w:name="DefaultOcxName1" w:shapeid="_x0000_i1029"/>
        </w:object>
      </w:r>
    </w:p>
    <w:p w:rsidR="0045621E" w:rsidRPr="0045621E" w:rsidRDefault="0045621E" w:rsidP="0045621E">
      <w:pPr>
        <w:pBdr>
          <w:top w:val="single" w:sz="6" w:space="1" w:color="auto"/>
        </w:pBdr>
        <w:spacing w:after="0" w:line="240" w:lineRule="auto"/>
        <w:jc w:val="center"/>
        <w:rPr>
          <w:rFonts w:ascii="Arial" w:eastAsia="Times New Roman" w:hAnsi="Arial" w:cs="Arial"/>
          <w:vanish/>
          <w:sz w:val="16"/>
          <w:szCs w:val="16"/>
        </w:rPr>
      </w:pPr>
      <w:r w:rsidRPr="0045621E">
        <w:rPr>
          <w:rFonts w:ascii="Arial" w:eastAsia="Times New Roman" w:hAnsi="Arial" w:cs="Arial"/>
          <w:vanish/>
          <w:sz w:val="16"/>
          <w:szCs w:val="16"/>
        </w:rPr>
        <w:t>Bottom of Form</w:t>
      </w:r>
    </w:p>
    <w:p w:rsidR="0045621E" w:rsidRPr="0045621E" w:rsidRDefault="0045621E" w:rsidP="0045621E">
      <w:pPr>
        <w:spacing w:after="375" w:line="300" w:lineRule="atLeast"/>
        <w:textAlignment w:val="baseline"/>
        <w:rPr>
          <w:rFonts w:ascii="Helvetica" w:eastAsia="Times New Roman" w:hAnsi="Helvetica" w:cs="Helvetica"/>
          <w:color w:val="000000"/>
          <w:sz w:val="20"/>
          <w:szCs w:val="20"/>
        </w:rPr>
      </w:pPr>
      <w:r w:rsidRPr="0045621E">
        <w:rPr>
          <w:rFonts w:ascii="Helvetica" w:eastAsia="Times New Roman" w:hAnsi="Helvetica" w:cs="Helvetica"/>
          <w:color w:val="000000"/>
          <w:sz w:val="20"/>
          <w:szCs w:val="20"/>
        </w:rPr>
        <w:t> </w:t>
      </w:r>
    </w:p>
    <w:p w:rsidR="0045621E" w:rsidRPr="0045621E" w:rsidRDefault="0045621E" w:rsidP="0045621E">
      <w:pPr>
        <w:numPr>
          <w:ilvl w:val="0"/>
          <w:numId w:val="10"/>
        </w:numPr>
        <w:spacing w:after="0" w:line="300" w:lineRule="atLeast"/>
        <w:ind w:left="0" w:right="1020"/>
        <w:textAlignment w:val="baseline"/>
        <w:rPr>
          <w:rFonts w:ascii="Helvetica" w:eastAsia="Times New Roman" w:hAnsi="Helvetica" w:cs="Helvetica"/>
          <w:color w:val="000000"/>
          <w:sz w:val="20"/>
          <w:szCs w:val="20"/>
        </w:rPr>
      </w:pPr>
      <w:hyperlink r:id="rId34" w:history="1">
        <w:r w:rsidRPr="0045621E">
          <w:rPr>
            <w:rFonts w:ascii="Helvetica" w:eastAsia="Times New Roman" w:hAnsi="Helvetica" w:cs="Helvetica"/>
            <w:color w:val="000000"/>
            <w:sz w:val="20"/>
            <w:szCs w:val="20"/>
            <w:u w:val="single"/>
            <w:bdr w:val="none" w:sz="0" w:space="0" w:color="auto" w:frame="1"/>
          </w:rPr>
          <w:t>About</w:t>
        </w:r>
      </w:hyperlink>
    </w:p>
    <w:p w:rsidR="0045621E" w:rsidRPr="0045621E" w:rsidRDefault="0045621E" w:rsidP="0045621E">
      <w:pPr>
        <w:numPr>
          <w:ilvl w:val="0"/>
          <w:numId w:val="10"/>
        </w:numPr>
        <w:spacing w:after="0" w:line="300" w:lineRule="atLeast"/>
        <w:ind w:left="0" w:right="1020"/>
        <w:textAlignment w:val="baseline"/>
        <w:rPr>
          <w:rFonts w:ascii="Helvetica" w:eastAsia="Times New Roman" w:hAnsi="Helvetica" w:cs="Helvetica"/>
          <w:color w:val="000000"/>
          <w:sz w:val="20"/>
          <w:szCs w:val="20"/>
        </w:rPr>
      </w:pPr>
      <w:hyperlink r:id="rId35" w:history="1">
        <w:r w:rsidRPr="0045621E">
          <w:rPr>
            <w:rFonts w:ascii="Helvetica" w:eastAsia="Times New Roman" w:hAnsi="Helvetica" w:cs="Helvetica"/>
            <w:color w:val="000000"/>
            <w:sz w:val="20"/>
            <w:szCs w:val="20"/>
            <w:u w:val="single"/>
            <w:bdr w:val="none" w:sz="0" w:space="0" w:color="auto" w:frame="1"/>
          </w:rPr>
          <w:t>Contact Us</w:t>
        </w:r>
      </w:hyperlink>
    </w:p>
    <w:p w:rsidR="0045621E" w:rsidRPr="0045621E" w:rsidRDefault="0045621E" w:rsidP="0045621E">
      <w:pPr>
        <w:numPr>
          <w:ilvl w:val="0"/>
          <w:numId w:val="10"/>
        </w:numPr>
        <w:spacing w:after="0" w:line="300" w:lineRule="atLeast"/>
        <w:ind w:left="0" w:right="1020"/>
        <w:textAlignment w:val="baseline"/>
        <w:rPr>
          <w:rFonts w:ascii="Helvetica" w:eastAsia="Times New Roman" w:hAnsi="Helvetica" w:cs="Helvetica"/>
          <w:color w:val="000000"/>
          <w:sz w:val="20"/>
          <w:szCs w:val="20"/>
        </w:rPr>
      </w:pPr>
      <w:hyperlink r:id="rId36" w:history="1">
        <w:r w:rsidRPr="0045621E">
          <w:rPr>
            <w:rFonts w:ascii="Helvetica" w:eastAsia="Times New Roman" w:hAnsi="Helvetica" w:cs="Helvetica"/>
            <w:color w:val="000000"/>
            <w:sz w:val="20"/>
            <w:szCs w:val="20"/>
            <w:u w:val="single"/>
            <w:bdr w:val="none" w:sz="0" w:space="0" w:color="auto" w:frame="1"/>
          </w:rPr>
          <w:t>Site Map</w:t>
        </w:r>
      </w:hyperlink>
    </w:p>
    <w:p w:rsidR="0045621E" w:rsidRPr="0045621E" w:rsidRDefault="0045621E" w:rsidP="0045621E">
      <w:pPr>
        <w:numPr>
          <w:ilvl w:val="0"/>
          <w:numId w:val="11"/>
        </w:numPr>
        <w:spacing w:after="0" w:line="300" w:lineRule="atLeast"/>
        <w:ind w:left="0" w:right="1020"/>
        <w:textAlignment w:val="baseline"/>
        <w:rPr>
          <w:rFonts w:ascii="Helvetica" w:eastAsia="Times New Roman" w:hAnsi="Helvetica" w:cs="Helvetica"/>
          <w:color w:val="000000"/>
          <w:sz w:val="20"/>
          <w:szCs w:val="20"/>
        </w:rPr>
      </w:pPr>
      <w:hyperlink r:id="rId37" w:history="1">
        <w:r w:rsidRPr="0045621E">
          <w:rPr>
            <w:rFonts w:ascii="Helvetica" w:eastAsia="Times New Roman" w:hAnsi="Helvetica" w:cs="Helvetica"/>
            <w:color w:val="000000"/>
            <w:sz w:val="20"/>
            <w:szCs w:val="20"/>
            <w:u w:val="single"/>
            <w:bdr w:val="none" w:sz="0" w:space="0" w:color="auto" w:frame="1"/>
          </w:rPr>
          <w:t>Accessibility</w:t>
        </w:r>
      </w:hyperlink>
    </w:p>
    <w:p w:rsidR="0045621E" w:rsidRPr="0045621E" w:rsidRDefault="0045621E" w:rsidP="0045621E">
      <w:pPr>
        <w:numPr>
          <w:ilvl w:val="0"/>
          <w:numId w:val="11"/>
        </w:numPr>
        <w:spacing w:after="0" w:line="300" w:lineRule="atLeast"/>
        <w:ind w:left="0" w:right="1020"/>
        <w:textAlignment w:val="baseline"/>
        <w:rPr>
          <w:rFonts w:ascii="Helvetica" w:eastAsia="Times New Roman" w:hAnsi="Helvetica" w:cs="Helvetica"/>
          <w:color w:val="000000"/>
          <w:sz w:val="20"/>
          <w:szCs w:val="20"/>
        </w:rPr>
      </w:pPr>
      <w:hyperlink r:id="rId38" w:history="1">
        <w:r w:rsidRPr="0045621E">
          <w:rPr>
            <w:rFonts w:ascii="Helvetica" w:eastAsia="Times New Roman" w:hAnsi="Helvetica" w:cs="Helvetica"/>
            <w:color w:val="000000"/>
            <w:sz w:val="20"/>
            <w:szCs w:val="20"/>
            <w:u w:val="single"/>
            <w:bdr w:val="none" w:sz="0" w:space="0" w:color="auto" w:frame="1"/>
          </w:rPr>
          <w:t>Privacy Policy</w:t>
        </w:r>
      </w:hyperlink>
    </w:p>
    <w:p w:rsidR="0045621E" w:rsidRPr="0045621E" w:rsidRDefault="0045621E" w:rsidP="0045621E">
      <w:pPr>
        <w:numPr>
          <w:ilvl w:val="0"/>
          <w:numId w:val="11"/>
        </w:numPr>
        <w:spacing w:after="0" w:line="300" w:lineRule="atLeast"/>
        <w:ind w:left="0" w:right="1020"/>
        <w:textAlignment w:val="baseline"/>
        <w:rPr>
          <w:rFonts w:ascii="Helvetica" w:eastAsia="Times New Roman" w:hAnsi="Helvetica" w:cs="Helvetica"/>
          <w:color w:val="000000"/>
          <w:sz w:val="20"/>
          <w:szCs w:val="20"/>
        </w:rPr>
      </w:pPr>
      <w:hyperlink r:id="rId39" w:history="1">
        <w:r w:rsidRPr="0045621E">
          <w:rPr>
            <w:rFonts w:ascii="Helvetica" w:eastAsia="Times New Roman" w:hAnsi="Helvetica" w:cs="Helvetica"/>
            <w:color w:val="000000"/>
            <w:sz w:val="20"/>
            <w:szCs w:val="20"/>
            <w:u w:val="single"/>
            <w:bdr w:val="none" w:sz="0" w:space="0" w:color="auto" w:frame="1"/>
          </w:rPr>
          <w:t>Disclaimers</w:t>
        </w:r>
      </w:hyperlink>
    </w:p>
    <w:p w:rsidR="0045621E" w:rsidRPr="0045621E" w:rsidRDefault="0045621E" w:rsidP="0045621E">
      <w:pPr>
        <w:numPr>
          <w:ilvl w:val="0"/>
          <w:numId w:val="12"/>
        </w:numPr>
        <w:spacing w:after="0" w:line="300" w:lineRule="atLeast"/>
        <w:ind w:left="0" w:right="1020"/>
        <w:textAlignment w:val="baseline"/>
        <w:rPr>
          <w:rFonts w:ascii="Helvetica" w:eastAsia="Times New Roman" w:hAnsi="Helvetica" w:cs="Helvetica"/>
          <w:color w:val="000000"/>
          <w:sz w:val="20"/>
          <w:szCs w:val="20"/>
        </w:rPr>
      </w:pPr>
      <w:hyperlink r:id="rId40" w:history="1">
        <w:r w:rsidRPr="0045621E">
          <w:rPr>
            <w:rFonts w:ascii="Helvetica" w:eastAsia="Times New Roman" w:hAnsi="Helvetica" w:cs="Helvetica"/>
            <w:color w:val="000000"/>
            <w:sz w:val="20"/>
            <w:szCs w:val="20"/>
            <w:u w:val="single"/>
            <w:bdr w:val="none" w:sz="0" w:space="0" w:color="auto" w:frame="1"/>
          </w:rPr>
          <w:t>Freedom of Information Act</w:t>
        </w:r>
      </w:hyperlink>
    </w:p>
    <w:p w:rsidR="0045621E" w:rsidRPr="0045621E" w:rsidRDefault="0045621E" w:rsidP="0045621E">
      <w:pPr>
        <w:numPr>
          <w:ilvl w:val="0"/>
          <w:numId w:val="12"/>
        </w:numPr>
        <w:spacing w:after="0" w:line="300" w:lineRule="atLeast"/>
        <w:ind w:left="0" w:right="1020"/>
        <w:textAlignment w:val="baseline"/>
        <w:rPr>
          <w:rFonts w:ascii="Helvetica" w:eastAsia="Times New Roman" w:hAnsi="Helvetica" w:cs="Helvetica"/>
          <w:color w:val="000000"/>
          <w:sz w:val="20"/>
          <w:szCs w:val="20"/>
        </w:rPr>
      </w:pPr>
      <w:hyperlink r:id="rId41" w:history="1">
        <w:r w:rsidRPr="0045621E">
          <w:rPr>
            <w:rFonts w:ascii="Helvetica" w:eastAsia="Times New Roman" w:hAnsi="Helvetica" w:cs="Helvetica"/>
            <w:color w:val="000000"/>
            <w:sz w:val="20"/>
            <w:szCs w:val="20"/>
            <w:u w:val="single"/>
            <w:bdr w:val="none" w:sz="0" w:space="0" w:color="auto" w:frame="1"/>
          </w:rPr>
          <w:t>Healthy People 2010 Archive</w:t>
        </w:r>
      </w:hyperlink>
    </w:p>
    <w:p w:rsidR="0045621E" w:rsidRPr="0045621E" w:rsidRDefault="0045621E" w:rsidP="0045621E">
      <w:pPr>
        <w:numPr>
          <w:ilvl w:val="0"/>
          <w:numId w:val="12"/>
        </w:numPr>
        <w:spacing w:after="0" w:line="300" w:lineRule="atLeast"/>
        <w:ind w:left="0" w:right="1020"/>
        <w:textAlignment w:val="baseline"/>
        <w:rPr>
          <w:rFonts w:ascii="Helvetica" w:eastAsia="Times New Roman" w:hAnsi="Helvetica" w:cs="Helvetica"/>
          <w:color w:val="000000"/>
          <w:sz w:val="20"/>
          <w:szCs w:val="20"/>
        </w:rPr>
      </w:pPr>
      <w:hyperlink r:id="rId42" w:history="1">
        <w:r w:rsidRPr="0045621E">
          <w:rPr>
            <w:rFonts w:ascii="Helvetica" w:eastAsia="Times New Roman" w:hAnsi="Helvetica" w:cs="Helvetica"/>
            <w:color w:val="000000"/>
            <w:sz w:val="20"/>
            <w:szCs w:val="20"/>
            <w:u w:val="single"/>
            <w:bdr w:val="none" w:sz="0" w:space="0" w:color="auto" w:frame="1"/>
          </w:rPr>
          <w:t>Nondiscrimination Notice</w:t>
        </w:r>
      </w:hyperlink>
    </w:p>
    <w:p w:rsidR="0045621E" w:rsidRPr="0045621E" w:rsidRDefault="0045621E" w:rsidP="0045621E">
      <w:pPr>
        <w:numPr>
          <w:ilvl w:val="0"/>
          <w:numId w:val="13"/>
        </w:numPr>
        <w:spacing w:after="0" w:line="300" w:lineRule="atLeast"/>
        <w:ind w:left="0" w:right="1020"/>
        <w:textAlignment w:val="baseline"/>
        <w:rPr>
          <w:rFonts w:ascii="Helvetica" w:eastAsia="Times New Roman" w:hAnsi="Helvetica" w:cs="Helvetica"/>
          <w:color w:val="000000"/>
          <w:sz w:val="20"/>
          <w:szCs w:val="20"/>
        </w:rPr>
      </w:pPr>
      <w:hyperlink r:id="rId43" w:history="1">
        <w:r w:rsidRPr="0045621E">
          <w:rPr>
            <w:rFonts w:ascii="Helvetica" w:eastAsia="Times New Roman" w:hAnsi="Helvetica" w:cs="Helvetica"/>
            <w:color w:val="000000"/>
            <w:sz w:val="20"/>
            <w:szCs w:val="20"/>
            <w:u w:val="single"/>
            <w:bdr w:val="none" w:sz="0" w:space="0" w:color="auto" w:frame="1"/>
          </w:rPr>
          <w:t>Web Badges</w:t>
        </w:r>
      </w:hyperlink>
    </w:p>
    <w:p w:rsidR="0045621E" w:rsidRPr="0045621E" w:rsidRDefault="0045621E" w:rsidP="0045621E">
      <w:pPr>
        <w:numPr>
          <w:ilvl w:val="0"/>
          <w:numId w:val="13"/>
        </w:numPr>
        <w:spacing w:after="0" w:line="300" w:lineRule="atLeast"/>
        <w:ind w:left="0" w:right="1020"/>
        <w:textAlignment w:val="baseline"/>
        <w:rPr>
          <w:rFonts w:ascii="Helvetica" w:eastAsia="Times New Roman" w:hAnsi="Helvetica" w:cs="Helvetica"/>
          <w:color w:val="000000"/>
          <w:sz w:val="20"/>
          <w:szCs w:val="20"/>
        </w:rPr>
      </w:pPr>
      <w:hyperlink r:id="rId44" w:history="1">
        <w:r w:rsidRPr="0045621E">
          <w:rPr>
            <w:rFonts w:ascii="Helvetica" w:eastAsia="Times New Roman" w:hAnsi="Helvetica" w:cs="Helvetica"/>
            <w:color w:val="000000"/>
            <w:sz w:val="20"/>
            <w:szCs w:val="20"/>
            <w:u w:val="single"/>
            <w:bdr w:val="none" w:sz="0" w:space="0" w:color="auto" w:frame="1"/>
          </w:rPr>
          <w:t>Viewers and Players</w:t>
        </w:r>
      </w:hyperlink>
    </w:p>
    <w:p w:rsidR="0045621E" w:rsidRPr="0045621E" w:rsidRDefault="0045621E" w:rsidP="0045621E">
      <w:pPr>
        <w:numPr>
          <w:ilvl w:val="0"/>
          <w:numId w:val="13"/>
        </w:numPr>
        <w:spacing w:after="0" w:line="300" w:lineRule="atLeast"/>
        <w:ind w:left="0" w:right="1020"/>
        <w:textAlignment w:val="baseline"/>
        <w:rPr>
          <w:rFonts w:ascii="Helvetica" w:eastAsia="Times New Roman" w:hAnsi="Helvetica" w:cs="Helvetica"/>
          <w:color w:val="000000"/>
          <w:sz w:val="20"/>
          <w:szCs w:val="20"/>
        </w:rPr>
      </w:pPr>
      <w:r w:rsidRPr="0045621E">
        <w:rPr>
          <w:rFonts w:ascii="Helvetica" w:eastAsia="Times New Roman" w:hAnsi="Helvetica" w:cs="Helvetica"/>
          <w:color w:val="000000"/>
          <w:sz w:val="20"/>
          <w:szCs w:val="20"/>
        </w:rPr>
        <w:t> </w:t>
      </w:r>
    </w:p>
    <w:p w:rsidR="0045621E" w:rsidRPr="0045621E" w:rsidRDefault="0045621E" w:rsidP="0045621E">
      <w:pPr>
        <w:spacing w:after="0" w:line="300" w:lineRule="atLeast"/>
        <w:textAlignment w:val="baseline"/>
        <w:rPr>
          <w:rFonts w:ascii="Helvetica" w:eastAsia="Times New Roman" w:hAnsi="Helvetica" w:cs="Helvetica"/>
          <w:color w:val="000000"/>
          <w:sz w:val="20"/>
          <w:szCs w:val="20"/>
        </w:rPr>
      </w:pPr>
      <w:r w:rsidRPr="0045621E">
        <w:rPr>
          <w:rFonts w:ascii="Helvetica" w:eastAsia="Times New Roman" w:hAnsi="Helvetica" w:cs="Helvetica"/>
          <w:noProof/>
          <w:color w:val="000000"/>
          <w:sz w:val="20"/>
          <w:szCs w:val="20"/>
        </w:rPr>
        <w:drawing>
          <wp:inline distT="0" distB="0" distL="0" distR="0" wp14:anchorId="37C17127" wp14:editId="5A7C5D25">
            <wp:extent cx="476250" cy="485775"/>
            <wp:effectExtent l="0" t="0" r="0" b="9525"/>
            <wp:docPr id="6" name="Picture 6" descr="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partment of Health and Human Service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6250" cy="485775"/>
                    </a:xfrm>
                    <a:prstGeom prst="rect">
                      <a:avLst/>
                    </a:prstGeom>
                    <a:noFill/>
                    <a:ln>
                      <a:noFill/>
                    </a:ln>
                  </pic:spPr>
                </pic:pic>
              </a:graphicData>
            </a:graphic>
          </wp:inline>
        </w:drawing>
      </w:r>
      <w:r w:rsidRPr="0045621E">
        <w:rPr>
          <w:rFonts w:ascii="Helvetica" w:eastAsia="Times New Roman" w:hAnsi="Helvetica" w:cs="Helvetica"/>
          <w:noProof/>
          <w:color w:val="000000"/>
          <w:sz w:val="20"/>
          <w:szCs w:val="20"/>
        </w:rPr>
        <w:drawing>
          <wp:inline distT="0" distB="0" distL="0" distR="0" wp14:anchorId="131EB0A0" wp14:editId="3966FDB4">
            <wp:extent cx="1190625" cy="266700"/>
            <wp:effectExtent l="0" t="0" r="9525" b="0"/>
            <wp:docPr id="7" name="Picture 7" descr="Office of Disease Prevention and Health Pro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fice of Disease Prevention and Health Promotio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90625" cy="266700"/>
                    </a:xfrm>
                    <a:prstGeom prst="rect">
                      <a:avLst/>
                    </a:prstGeom>
                    <a:noFill/>
                    <a:ln>
                      <a:noFill/>
                    </a:ln>
                  </pic:spPr>
                </pic:pic>
              </a:graphicData>
            </a:graphic>
          </wp:inline>
        </w:drawing>
      </w:r>
    </w:p>
    <w:p w:rsidR="0045621E" w:rsidRPr="0045621E" w:rsidRDefault="0045621E" w:rsidP="0045621E">
      <w:pPr>
        <w:spacing w:after="375" w:line="300" w:lineRule="atLeast"/>
        <w:textAlignment w:val="baseline"/>
        <w:rPr>
          <w:rFonts w:ascii="Helvetica" w:eastAsia="Times New Roman" w:hAnsi="Helvetica" w:cs="Helvetica"/>
          <w:color w:val="000000"/>
          <w:sz w:val="20"/>
          <w:szCs w:val="20"/>
        </w:rPr>
      </w:pPr>
      <w:r w:rsidRPr="0045621E">
        <w:rPr>
          <w:rFonts w:ascii="Helvetica" w:eastAsia="Times New Roman" w:hAnsi="Helvetica" w:cs="Helvetica"/>
          <w:color w:val="000000"/>
          <w:sz w:val="20"/>
          <w:szCs w:val="20"/>
        </w:rPr>
        <w:t> </w:t>
      </w:r>
    </w:p>
    <w:p w:rsidR="0045621E" w:rsidRPr="0045621E" w:rsidRDefault="0045621E" w:rsidP="0045621E">
      <w:pPr>
        <w:spacing w:after="0" w:line="300" w:lineRule="atLeast"/>
        <w:textAlignment w:val="baseline"/>
        <w:rPr>
          <w:rFonts w:ascii="Helvetica" w:eastAsia="Times New Roman" w:hAnsi="Helvetica" w:cs="Helvetica"/>
          <w:color w:val="000000"/>
          <w:sz w:val="18"/>
          <w:szCs w:val="18"/>
        </w:rPr>
      </w:pPr>
      <w:r w:rsidRPr="0045621E">
        <w:rPr>
          <w:rFonts w:ascii="Helvetica" w:eastAsia="Times New Roman" w:hAnsi="Helvetica" w:cs="Helvetica"/>
          <w:color w:val="000000"/>
          <w:sz w:val="18"/>
          <w:szCs w:val="18"/>
        </w:rPr>
        <w:t>A Federal Government Web site managed by the </w:t>
      </w:r>
      <w:hyperlink r:id="rId47" w:history="1">
        <w:r w:rsidRPr="0045621E">
          <w:rPr>
            <w:rFonts w:ascii="Helvetica" w:eastAsia="Times New Roman" w:hAnsi="Helvetica" w:cs="Helvetica"/>
            <w:color w:val="000000"/>
            <w:sz w:val="18"/>
            <w:szCs w:val="18"/>
            <w:u w:val="single"/>
            <w:bdr w:val="none" w:sz="0" w:space="0" w:color="auto" w:frame="1"/>
          </w:rPr>
          <w:t>U.S. Department of Health and Human Services</w:t>
        </w:r>
      </w:hyperlink>
      <w:r w:rsidRPr="0045621E">
        <w:rPr>
          <w:rFonts w:ascii="Helvetica" w:eastAsia="Times New Roman" w:hAnsi="Helvetica" w:cs="Helvetica"/>
          <w:color w:val="000000"/>
          <w:sz w:val="18"/>
          <w:szCs w:val="18"/>
        </w:rPr>
        <w:t> • 200 Independence Avenue, S.W., Washington, DC 20201 • © 2014</w:t>
      </w:r>
    </w:p>
    <w:p w:rsidR="0045621E" w:rsidRPr="0045621E" w:rsidRDefault="0045621E" w:rsidP="0045621E">
      <w:pPr>
        <w:spacing w:after="0" w:line="240" w:lineRule="auto"/>
        <w:jc w:val="center"/>
        <w:textAlignment w:val="baseline"/>
        <w:rPr>
          <w:rFonts w:ascii="Helvetica" w:eastAsia="Times New Roman" w:hAnsi="Helvetica" w:cs="Helvetica"/>
          <w:color w:val="000000"/>
          <w:sz w:val="20"/>
          <w:szCs w:val="20"/>
        </w:rPr>
      </w:pPr>
      <w:r w:rsidRPr="0045621E">
        <w:rPr>
          <w:rFonts w:ascii="Helvetica" w:eastAsia="Times New Roman" w:hAnsi="Helvetica" w:cs="Helvetica"/>
          <w:color w:val="000000"/>
          <w:sz w:val="20"/>
          <w:szCs w:val="20"/>
        </w:rPr>
        <w:t>Site last updated 12/29/18</w:t>
      </w:r>
    </w:p>
    <w:p w:rsidR="0092720D" w:rsidRDefault="0092720D"/>
    <w:sectPr w:rsidR="00927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909C5"/>
    <w:multiLevelType w:val="multilevel"/>
    <w:tmpl w:val="FAD2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75E67"/>
    <w:multiLevelType w:val="multilevel"/>
    <w:tmpl w:val="B7F4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D96152"/>
    <w:multiLevelType w:val="multilevel"/>
    <w:tmpl w:val="C616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821E5"/>
    <w:multiLevelType w:val="multilevel"/>
    <w:tmpl w:val="2106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70F4D"/>
    <w:multiLevelType w:val="multilevel"/>
    <w:tmpl w:val="76CA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60073F"/>
    <w:multiLevelType w:val="multilevel"/>
    <w:tmpl w:val="704E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D4007"/>
    <w:multiLevelType w:val="multilevel"/>
    <w:tmpl w:val="0EC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7A77FA"/>
    <w:multiLevelType w:val="multilevel"/>
    <w:tmpl w:val="2864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6295E"/>
    <w:multiLevelType w:val="multilevel"/>
    <w:tmpl w:val="46DA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41937"/>
    <w:multiLevelType w:val="multilevel"/>
    <w:tmpl w:val="EDBA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6951ED"/>
    <w:multiLevelType w:val="multilevel"/>
    <w:tmpl w:val="8638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9045E"/>
    <w:multiLevelType w:val="multilevel"/>
    <w:tmpl w:val="6AF4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D1643F"/>
    <w:multiLevelType w:val="multilevel"/>
    <w:tmpl w:val="225A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9"/>
  </w:num>
  <w:num w:numId="5">
    <w:abstractNumId w:val="10"/>
  </w:num>
  <w:num w:numId="6">
    <w:abstractNumId w:val="1"/>
  </w:num>
  <w:num w:numId="7">
    <w:abstractNumId w:val="4"/>
  </w:num>
  <w:num w:numId="8">
    <w:abstractNumId w:val="8"/>
  </w:num>
  <w:num w:numId="9">
    <w:abstractNumId w:val="0"/>
  </w:num>
  <w:num w:numId="10">
    <w:abstractNumId w:val="12"/>
  </w:num>
  <w:num w:numId="11">
    <w:abstractNumId w:val="6"/>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21E"/>
    <w:rsid w:val="0045621E"/>
    <w:rsid w:val="0092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31482-F6BC-4FCA-A7EE-E8A5AA347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906678">
      <w:bodyDiv w:val="1"/>
      <w:marLeft w:val="0"/>
      <w:marRight w:val="0"/>
      <w:marTop w:val="0"/>
      <w:marBottom w:val="0"/>
      <w:divBdr>
        <w:top w:val="none" w:sz="0" w:space="0" w:color="auto"/>
        <w:left w:val="none" w:sz="0" w:space="0" w:color="auto"/>
        <w:bottom w:val="none" w:sz="0" w:space="0" w:color="auto"/>
        <w:right w:val="none" w:sz="0" w:space="0" w:color="auto"/>
      </w:divBdr>
      <w:divsChild>
        <w:div w:id="1916738248">
          <w:marLeft w:val="0"/>
          <w:marRight w:val="0"/>
          <w:marTop w:val="0"/>
          <w:marBottom w:val="0"/>
          <w:divBdr>
            <w:top w:val="none" w:sz="0" w:space="0" w:color="auto"/>
            <w:left w:val="none" w:sz="0" w:space="0" w:color="auto"/>
            <w:bottom w:val="none" w:sz="0" w:space="0" w:color="auto"/>
            <w:right w:val="none" w:sz="0" w:space="0" w:color="auto"/>
          </w:divBdr>
          <w:divsChild>
            <w:div w:id="706294934">
              <w:marLeft w:val="0"/>
              <w:marRight w:val="0"/>
              <w:marTop w:val="0"/>
              <w:marBottom w:val="0"/>
              <w:divBdr>
                <w:top w:val="none" w:sz="0" w:space="0" w:color="auto"/>
                <w:left w:val="none" w:sz="0" w:space="0" w:color="auto"/>
                <w:bottom w:val="none" w:sz="0" w:space="0" w:color="auto"/>
                <w:right w:val="none" w:sz="0" w:space="0" w:color="auto"/>
              </w:divBdr>
              <w:divsChild>
                <w:div w:id="420873938">
                  <w:marLeft w:val="0"/>
                  <w:marRight w:val="0"/>
                  <w:marTop w:val="0"/>
                  <w:marBottom w:val="0"/>
                  <w:divBdr>
                    <w:top w:val="none" w:sz="0" w:space="0" w:color="auto"/>
                    <w:left w:val="none" w:sz="0" w:space="0" w:color="auto"/>
                    <w:bottom w:val="none" w:sz="0" w:space="0" w:color="auto"/>
                    <w:right w:val="none" w:sz="0" w:space="0" w:color="auto"/>
                  </w:divBdr>
                  <w:divsChild>
                    <w:div w:id="130828971">
                      <w:marLeft w:val="0"/>
                      <w:marRight w:val="0"/>
                      <w:marTop w:val="0"/>
                      <w:marBottom w:val="0"/>
                      <w:divBdr>
                        <w:top w:val="none" w:sz="0" w:space="0" w:color="auto"/>
                        <w:left w:val="none" w:sz="0" w:space="0" w:color="auto"/>
                        <w:bottom w:val="none" w:sz="0" w:space="0" w:color="auto"/>
                        <w:right w:val="none" w:sz="0" w:space="0" w:color="auto"/>
                      </w:divBdr>
                      <w:divsChild>
                        <w:div w:id="1247418530">
                          <w:marLeft w:val="0"/>
                          <w:marRight w:val="0"/>
                          <w:marTop w:val="0"/>
                          <w:marBottom w:val="0"/>
                          <w:divBdr>
                            <w:top w:val="none" w:sz="0" w:space="0" w:color="auto"/>
                            <w:left w:val="none" w:sz="0" w:space="0" w:color="auto"/>
                            <w:bottom w:val="none" w:sz="0" w:space="0" w:color="auto"/>
                            <w:right w:val="none" w:sz="0" w:space="0" w:color="auto"/>
                          </w:divBdr>
                          <w:divsChild>
                            <w:div w:id="1755586411">
                              <w:marLeft w:val="0"/>
                              <w:marRight w:val="0"/>
                              <w:marTop w:val="0"/>
                              <w:marBottom w:val="0"/>
                              <w:divBdr>
                                <w:top w:val="none" w:sz="0" w:space="0" w:color="auto"/>
                                <w:left w:val="none" w:sz="0" w:space="0" w:color="auto"/>
                                <w:bottom w:val="none" w:sz="0" w:space="0" w:color="auto"/>
                                <w:right w:val="none" w:sz="0" w:space="0" w:color="auto"/>
                              </w:divBdr>
                              <w:divsChild>
                                <w:div w:id="2108849150">
                                  <w:marLeft w:val="0"/>
                                  <w:marRight w:val="0"/>
                                  <w:marTop w:val="0"/>
                                  <w:marBottom w:val="0"/>
                                  <w:divBdr>
                                    <w:top w:val="none" w:sz="0" w:space="0" w:color="auto"/>
                                    <w:left w:val="none" w:sz="0" w:space="0" w:color="auto"/>
                                    <w:bottom w:val="none" w:sz="0" w:space="0" w:color="auto"/>
                                    <w:right w:val="none" w:sz="0" w:space="0" w:color="auto"/>
                                  </w:divBdr>
                                  <w:divsChild>
                                    <w:div w:id="360934080">
                                      <w:marLeft w:val="0"/>
                                      <w:marRight w:val="0"/>
                                      <w:marTop w:val="0"/>
                                      <w:marBottom w:val="0"/>
                                      <w:divBdr>
                                        <w:top w:val="none" w:sz="0" w:space="0" w:color="auto"/>
                                        <w:left w:val="none" w:sz="0" w:space="0" w:color="auto"/>
                                        <w:bottom w:val="none" w:sz="0" w:space="0" w:color="auto"/>
                                        <w:right w:val="none" w:sz="0" w:space="0" w:color="auto"/>
                                      </w:divBdr>
                                      <w:divsChild>
                                        <w:div w:id="149905065">
                                          <w:marLeft w:val="0"/>
                                          <w:marRight w:val="0"/>
                                          <w:marTop w:val="0"/>
                                          <w:marBottom w:val="0"/>
                                          <w:divBdr>
                                            <w:top w:val="none" w:sz="0" w:space="0" w:color="auto"/>
                                            <w:left w:val="none" w:sz="0" w:space="0" w:color="auto"/>
                                            <w:bottom w:val="none" w:sz="0" w:space="0" w:color="auto"/>
                                            <w:right w:val="none" w:sz="0" w:space="0" w:color="auto"/>
                                          </w:divBdr>
                                          <w:divsChild>
                                            <w:div w:id="9992007">
                                              <w:marLeft w:val="0"/>
                                              <w:marRight w:val="0"/>
                                              <w:marTop w:val="0"/>
                                              <w:marBottom w:val="0"/>
                                              <w:divBdr>
                                                <w:top w:val="none" w:sz="0" w:space="0" w:color="auto"/>
                                                <w:left w:val="none" w:sz="0" w:space="0" w:color="auto"/>
                                                <w:bottom w:val="none" w:sz="0" w:space="0" w:color="auto"/>
                                                <w:right w:val="none" w:sz="0" w:space="0" w:color="auto"/>
                                              </w:divBdr>
                                              <w:divsChild>
                                                <w:div w:id="1130515454">
                                                  <w:marLeft w:val="0"/>
                                                  <w:marRight w:val="0"/>
                                                  <w:marTop w:val="0"/>
                                                  <w:marBottom w:val="0"/>
                                                  <w:divBdr>
                                                    <w:top w:val="none" w:sz="0" w:space="0" w:color="auto"/>
                                                    <w:left w:val="none" w:sz="0" w:space="0" w:color="auto"/>
                                                    <w:bottom w:val="none" w:sz="0" w:space="0" w:color="auto"/>
                                                    <w:right w:val="none" w:sz="0" w:space="0" w:color="auto"/>
                                                  </w:divBdr>
                                                  <w:divsChild>
                                                    <w:div w:id="589853115">
                                                      <w:marLeft w:val="120"/>
                                                      <w:marRight w:val="0"/>
                                                      <w:marTop w:val="0"/>
                                                      <w:marBottom w:val="240"/>
                                                      <w:divBdr>
                                                        <w:top w:val="none" w:sz="0" w:space="0" w:color="auto"/>
                                                        <w:left w:val="none" w:sz="0" w:space="0" w:color="auto"/>
                                                        <w:bottom w:val="none" w:sz="0" w:space="0" w:color="auto"/>
                                                        <w:right w:val="none" w:sz="0" w:space="0" w:color="auto"/>
                                                      </w:divBdr>
                                                      <w:divsChild>
                                                        <w:div w:id="910314769">
                                                          <w:marLeft w:val="0"/>
                                                          <w:marRight w:val="0"/>
                                                          <w:marTop w:val="0"/>
                                                          <w:marBottom w:val="0"/>
                                                          <w:divBdr>
                                                            <w:top w:val="none" w:sz="0" w:space="0" w:color="auto"/>
                                                            <w:left w:val="none" w:sz="0" w:space="0" w:color="auto"/>
                                                            <w:bottom w:val="none" w:sz="0" w:space="0" w:color="auto"/>
                                                            <w:right w:val="none" w:sz="0" w:space="0" w:color="auto"/>
                                                          </w:divBdr>
                                                          <w:divsChild>
                                                            <w:div w:id="1414665092">
                                                              <w:marLeft w:val="0"/>
                                                              <w:marRight w:val="0"/>
                                                              <w:marTop w:val="0"/>
                                                              <w:marBottom w:val="0"/>
                                                              <w:divBdr>
                                                                <w:top w:val="none" w:sz="0" w:space="0" w:color="auto"/>
                                                                <w:left w:val="none" w:sz="0" w:space="0" w:color="auto"/>
                                                                <w:bottom w:val="none" w:sz="0" w:space="0" w:color="auto"/>
                                                                <w:right w:val="none" w:sz="0" w:space="0" w:color="auto"/>
                                                              </w:divBdr>
                                                            </w:div>
                                                          </w:divsChild>
                                                        </w:div>
                                                        <w:div w:id="1405835404">
                                                          <w:marLeft w:val="0"/>
                                                          <w:marRight w:val="0"/>
                                                          <w:marTop w:val="0"/>
                                                          <w:marBottom w:val="0"/>
                                                          <w:divBdr>
                                                            <w:top w:val="none" w:sz="0" w:space="0" w:color="auto"/>
                                                            <w:left w:val="none" w:sz="0" w:space="0" w:color="auto"/>
                                                            <w:bottom w:val="none" w:sz="0" w:space="0" w:color="auto"/>
                                                            <w:right w:val="none" w:sz="0" w:space="0" w:color="auto"/>
                                                          </w:divBdr>
                                                          <w:divsChild>
                                                            <w:div w:id="543639069">
                                                              <w:marLeft w:val="0"/>
                                                              <w:marRight w:val="0"/>
                                                              <w:marTop w:val="0"/>
                                                              <w:marBottom w:val="0"/>
                                                              <w:divBdr>
                                                                <w:top w:val="none" w:sz="0" w:space="0" w:color="auto"/>
                                                                <w:left w:val="none" w:sz="0" w:space="0" w:color="auto"/>
                                                                <w:bottom w:val="none" w:sz="0" w:space="0" w:color="auto"/>
                                                                <w:right w:val="none" w:sz="0" w:space="0" w:color="auto"/>
                                                              </w:divBdr>
                                                              <w:divsChild>
                                                                <w:div w:id="1148590816">
                                                                  <w:marLeft w:val="0"/>
                                                                  <w:marRight w:val="0"/>
                                                                  <w:marTop w:val="0"/>
                                                                  <w:marBottom w:val="0"/>
                                                                  <w:divBdr>
                                                                    <w:top w:val="none" w:sz="0" w:space="0" w:color="auto"/>
                                                                    <w:left w:val="none" w:sz="0" w:space="0" w:color="auto"/>
                                                                    <w:bottom w:val="none" w:sz="0" w:space="0" w:color="auto"/>
                                                                    <w:right w:val="none" w:sz="0" w:space="0" w:color="auto"/>
                                                                  </w:divBdr>
                                                                  <w:divsChild>
                                                                    <w:div w:id="739980410">
                                                                      <w:marLeft w:val="0"/>
                                                                      <w:marRight w:val="0"/>
                                                                      <w:marTop w:val="0"/>
                                                                      <w:marBottom w:val="0"/>
                                                                      <w:divBdr>
                                                                        <w:top w:val="none" w:sz="0" w:space="0" w:color="auto"/>
                                                                        <w:left w:val="none" w:sz="0" w:space="0" w:color="auto"/>
                                                                        <w:bottom w:val="none" w:sz="0" w:space="0" w:color="auto"/>
                                                                        <w:right w:val="none" w:sz="0" w:space="0" w:color="auto"/>
                                                                      </w:divBdr>
                                                                      <w:divsChild>
                                                                        <w:div w:id="519247181">
                                                                          <w:marLeft w:val="0"/>
                                                                          <w:marRight w:val="0"/>
                                                                          <w:marTop w:val="0"/>
                                                                          <w:marBottom w:val="0"/>
                                                                          <w:divBdr>
                                                                            <w:top w:val="none" w:sz="0" w:space="0" w:color="auto"/>
                                                                            <w:left w:val="none" w:sz="0" w:space="0" w:color="auto"/>
                                                                            <w:bottom w:val="none" w:sz="0" w:space="0" w:color="auto"/>
                                                                            <w:right w:val="none" w:sz="0" w:space="0" w:color="auto"/>
                                                                          </w:divBdr>
                                                                          <w:divsChild>
                                                                            <w:div w:id="1939484834">
                                                                              <w:marLeft w:val="0"/>
                                                                              <w:marRight w:val="0"/>
                                                                              <w:marTop w:val="0"/>
                                                                              <w:marBottom w:val="0"/>
                                                                              <w:divBdr>
                                                                                <w:top w:val="none" w:sz="0" w:space="0" w:color="auto"/>
                                                                                <w:left w:val="none" w:sz="0" w:space="0" w:color="auto"/>
                                                                                <w:bottom w:val="none" w:sz="0" w:space="0" w:color="auto"/>
                                                                                <w:right w:val="none" w:sz="0" w:space="0" w:color="auto"/>
                                                                              </w:divBdr>
                                                                            </w:div>
                                                                            <w:div w:id="1478183853">
                                                                              <w:marLeft w:val="0"/>
                                                                              <w:marRight w:val="0"/>
                                                                              <w:marTop w:val="0"/>
                                                                              <w:marBottom w:val="0"/>
                                                                              <w:divBdr>
                                                                                <w:top w:val="none" w:sz="0" w:space="0" w:color="auto"/>
                                                                                <w:left w:val="none" w:sz="0" w:space="0" w:color="auto"/>
                                                                                <w:bottom w:val="none" w:sz="0" w:space="0" w:color="auto"/>
                                                                                <w:right w:val="none" w:sz="0" w:space="0" w:color="auto"/>
                                                                              </w:divBdr>
                                                                            </w:div>
                                                                            <w:div w:id="1167555335">
                                                                              <w:marLeft w:val="0"/>
                                                                              <w:marRight w:val="0"/>
                                                                              <w:marTop w:val="0"/>
                                                                              <w:marBottom w:val="0"/>
                                                                              <w:divBdr>
                                                                                <w:top w:val="none" w:sz="0" w:space="0" w:color="auto"/>
                                                                                <w:left w:val="none" w:sz="0" w:space="0" w:color="auto"/>
                                                                                <w:bottom w:val="none" w:sz="0" w:space="0" w:color="auto"/>
                                                                                <w:right w:val="none" w:sz="0" w:space="0" w:color="auto"/>
                                                                              </w:divBdr>
                                                                            </w:div>
                                                                            <w:div w:id="1933003552">
                                                                              <w:marLeft w:val="0"/>
                                                                              <w:marRight w:val="0"/>
                                                                              <w:marTop w:val="0"/>
                                                                              <w:marBottom w:val="0"/>
                                                                              <w:divBdr>
                                                                                <w:top w:val="none" w:sz="0" w:space="0" w:color="auto"/>
                                                                                <w:left w:val="none" w:sz="0" w:space="0" w:color="auto"/>
                                                                                <w:bottom w:val="none" w:sz="0" w:space="0" w:color="auto"/>
                                                                                <w:right w:val="none" w:sz="0" w:space="0" w:color="auto"/>
                                                                              </w:divBdr>
                                                                            </w:div>
                                                                            <w:div w:id="1739011716">
                                                                              <w:marLeft w:val="180"/>
                                                                              <w:marRight w:val="0"/>
                                                                              <w:marTop w:val="0"/>
                                                                              <w:marBottom w:val="150"/>
                                                                              <w:divBdr>
                                                                                <w:top w:val="single" w:sz="6" w:space="7" w:color="BEBEBE"/>
                                                                                <w:left w:val="single" w:sz="6" w:space="7" w:color="BEBEBE"/>
                                                                                <w:bottom w:val="single" w:sz="6" w:space="7" w:color="BEBEBE"/>
                                                                                <w:right w:val="single" w:sz="6" w:space="7" w:color="BEBEBE"/>
                                                                              </w:divBdr>
                                                                            </w:div>
                                                                            <w:div w:id="768698619">
                                                                              <w:marLeft w:val="180"/>
                                                                              <w:marRight w:val="0"/>
                                                                              <w:marTop w:val="0"/>
                                                                              <w:marBottom w:val="150"/>
                                                                              <w:divBdr>
                                                                                <w:top w:val="single" w:sz="6" w:space="7" w:color="BEBEBE"/>
                                                                                <w:left w:val="single" w:sz="6" w:space="7" w:color="BEBEBE"/>
                                                                                <w:bottom w:val="single" w:sz="6" w:space="7" w:color="BEBEBE"/>
                                                                                <w:right w:val="single" w:sz="6" w:space="7" w:color="BEBEBE"/>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931487">
          <w:marLeft w:val="0"/>
          <w:marRight w:val="0"/>
          <w:marTop w:val="0"/>
          <w:marBottom w:val="0"/>
          <w:divBdr>
            <w:top w:val="none" w:sz="0" w:space="0" w:color="auto"/>
            <w:left w:val="none" w:sz="0" w:space="0" w:color="auto"/>
            <w:bottom w:val="none" w:sz="0" w:space="0" w:color="auto"/>
            <w:right w:val="none" w:sz="0" w:space="0" w:color="auto"/>
          </w:divBdr>
          <w:divsChild>
            <w:div w:id="1473257231">
              <w:marLeft w:val="0"/>
              <w:marRight w:val="0"/>
              <w:marTop w:val="0"/>
              <w:marBottom w:val="0"/>
              <w:divBdr>
                <w:top w:val="none" w:sz="0" w:space="0" w:color="auto"/>
                <w:left w:val="none" w:sz="0" w:space="0" w:color="auto"/>
                <w:bottom w:val="none" w:sz="0" w:space="0" w:color="auto"/>
                <w:right w:val="none" w:sz="0" w:space="0" w:color="auto"/>
              </w:divBdr>
              <w:divsChild>
                <w:div w:id="1319532955">
                  <w:marLeft w:val="0"/>
                  <w:marRight w:val="0"/>
                  <w:marTop w:val="0"/>
                  <w:marBottom w:val="0"/>
                  <w:divBdr>
                    <w:top w:val="none" w:sz="0" w:space="0" w:color="auto"/>
                    <w:left w:val="none" w:sz="0" w:space="0" w:color="auto"/>
                    <w:bottom w:val="none" w:sz="0" w:space="0" w:color="auto"/>
                    <w:right w:val="none" w:sz="0" w:space="0" w:color="auto"/>
                  </w:divBdr>
                  <w:divsChild>
                    <w:div w:id="1224607214">
                      <w:marLeft w:val="0"/>
                      <w:marRight w:val="0"/>
                      <w:marTop w:val="0"/>
                      <w:marBottom w:val="0"/>
                      <w:divBdr>
                        <w:top w:val="none" w:sz="0" w:space="0" w:color="auto"/>
                        <w:left w:val="none" w:sz="0" w:space="0" w:color="auto"/>
                        <w:bottom w:val="none" w:sz="0" w:space="0" w:color="auto"/>
                        <w:right w:val="none" w:sz="0" w:space="0" w:color="auto"/>
                      </w:divBdr>
                      <w:divsChild>
                        <w:div w:id="1085028488">
                          <w:marLeft w:val="0"/>
                          <w:marRight w:val="0"/>
                          <w:marTop w:val="0"/>
                          <w:marBottom w:val="0"/>
                          <w:divBdr>
                            <w:top w:val="none" w:sz="0" w:space="0" w:color="auto"/>
                            <w:left w:val="none" w:sz="0" w:space="0" w:color="auto"/>
                            <w:bottom w:val="none" w:sz="0" w:space="0" w:color="auto"/>
                            <w:right w:val="none" w:sz="0" w:space="0" w:color="auto"/>
                          </w:divBdr>
                          <w:divsChild>
                            <w:div w:id="1378891715">
                              <w:marLeft w:val="0"/>
                              <w:marRight w:val="0"/>
                              <w:marTop w:val="0"/>
                              <w:marBottom w:val="0"/>
                              <w:divBdr>
                                <w:top w:val="none" w:sz="0" w:space="0" w:color="auto"/>
                                <w:left w:val="none" w:sz="0" w:space="0" w:color="auto"/>
                                <w:bottom w:val="none" w:sz="0" w:space="0" w:color="auto"/>
                                <w:right w:val="none" w:sz="0" w:space="0" w:color="auto"/>
                              </w:divBdr>
                              <w:divsChild>
                                <w:div w:id="300311607">
                                  <w:marLeft w:val="0"/>
                                  <w:marRight w:val="0"/>
                                  <w:marTop w:val="0"/>
                                  <w:marBottom w:val="0"/>
                                  <w:divBdr>
                                    <w:top w:val="none" w:sz="0" w:space="0" w:color="auto"/>
                                    <w:left w:val="none" w:sz="0" w:space="0" w:color="auto"/>
                                    <w:bottom w:val="none" w:sz="0" w:space="0" w:color="auto"/>
                                    <w:right w:val="none" w:sz="0" w:space="0" w:color="auto"/>
                                  </w:divBdr>
                                  <w:divsChild>
                                    <w:div w:id="1914658883">
                                      <w:marLeft w:val="0"/>
                                      <w:marRight w:val="225"/>
                                      <w:marTop w:val="0"/>
                                      <w:marBottom w:val="0"/>
                                      <w:divBdr>
                                        <w:top w:val="none" w:sz="0" w:space="0" w:color="auto"/>
                                        <w:left w:val="none" w:sz="0" w:space="0" w:color="auto"/>
                                        <w:bottom w:val="none" w:sz="0" w:space="0" w:color="auto"/>
                                        <w:right w:val="none" w:sz="0" w:space="0" w:color="auto"/>
                                      </w:divBdr>
                                    </w:div>
                                  </w:divsChild>
                                </w:div>
                                <w:div w:id="426123395">
                                  <w:marLeft w:val="0"/>
                                  <w:marRight w:val="0"/>
                                  <w:marTop w:val="0"/>
                                  <w:marBottom w:val="0"/>
                                  <w:divBdr>
                                    <w:top w:val="none" w:sz="0" w:space="0" w:color="auto"/>
                                    <w:left w:val="none" w:sz="0" w:space="0" w:color="auto"/>
                                    <w:bottom w:val="none" w:sz="0" w:space="0" w:color="auto"/>
                                    <w:right w:val="none" w:sz="0" w:space="0" w:color="auto"/>
                                  </w:divBdr>
                                  <w:divsChild>
                                    <w:div w:id="64528345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715394586">
                      <w:marLeft w:val="0"/>
                      <w:marRight w:val="0"/>
                      <w:marTop w:val="0"/>
                      <w:marBottom w:val="0"/>
                      <w:divBdr>
                        <w:top w:val="none" w:sz="0" w:space="0" w:color="auto"/>
                        <w:left w:val="none" w:sz="0" w:space="0" w:color="auto"/>
                        <w:bottom w:val="none" w:sz="0" w:space="0" w:color="auto"/>
                        <w:right w:val="none" w:sz="0" w:space="0" w:color="auto"/>
                      </w:divBdr>
                      <w:divsChild>
                        <w:div w:id="1972245703">
                          <w:marLeft w:val="0"/>
                          <w:marRight w:val="0"/>
                          <w:marTop w:val="0"/>
                          <w:marBottom w:val="0"/>
                          <w:divBdr>
                            <w:top w:val="none" w:sz="0" w:space="0" w:color="auto"/>
                            <w:left w:val="none" w:sz="0" w:space="0" w:color="auto"/>
                            <w:bottom w:val="none" w:sz="0" w:space="0" w:color="auto"/>
                            <w:right w:val="none" w:sz="0" w:space="0" w:color="auto"/>
                          </w:divBdr>
                          <w:divsChild>
                            <w:div w:id="500044748">
                              <w:marLeft w:val="0"/>
                              <w:marRight w:val="0"/>
                              <w:marTop w:val="0"/>
                              <w:marBottom w:val="0"/>
                              <w:divBdr>
                                <w:top w:val="none" w:sz="0" w:space="0" w:color="auto"/>
                                <w:left w:val="none" w:sz="0" w:space="0" w:color="auto"/>
                                <w:bottom w:val="none" w:sz="0" w:space="0" w:color="auto"/>
                                <w:right w:val="none" w:sz="0" w:space="0" w:color="auto"/>
                              </w:divBdr>
                              <w:divsChild>
                                <w:div w:id="1963657894">
                                  <w:marLeft w:val="0"/>
                                  <w:marRight w:val="0"/>
                                  <w:marTop w:val="0"/>
                                  <w:marBottom w:val="0"/>
                                  <w:divBdr>
                                    <w:top w:val="none" w:sz="0" w:space="0" w:color="auto"/>
                                    <w:left w:val="none" w:sz="0" w:space="0" w:color="auto"/>
                                    <w:bottom w:val="none" w:sz="0" w:space="0" w:color="auto"/>
                                    <w:right w:val="none" w:sz="0" w:space="0" w:color="auto"/>
                                  </w:divBdr>
                                </w:div>
                                <w:div w:id="36787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69235">
                      <w:marLeft w:val="0"/>
                      <w:marRight w:val="0"/>
                      <w:marTop w:val="0"/>
                      <w:marBottom w:val="0"/>
                      <w:divBdr>
                        <w:top w:val="none" w:sz="0" w:space="0" w:color="auto"/>
                        <w:left w:val="none" w:sz="0" w:space="0" w:color="auto"/>
                        <w:bottom w:val="none" w:sz="0" w:space="0" w:color="auto"/>
                        <w:right w:val="none" w:sz="0" w:space="0" w:color="auto"/>
                      </w:divBdr>
                      <w:divsChild>
                        <w:div w:id="1223298688">
                          <w:marLeft w:val="0"/>
                          <w:marRight w:val="0"/>
                          <w:marTop w:val="0"/>
                          <w:marBottom w:val="0"/>
                          <w:divBdr>
                            <w:top w:val="none" w:sz="0" w:space="0" w:color="auto"/>
                            <w:left w:val="none" w:sz="0" w:space="0" w:color="auto"/>
                            <w:bottom w:val="none" w:sz="0" w:space="0" w:color="auto"/>
                            <w:right w:val="none" w:sz="0" w:space="0" w:color="auto"/>
                          </w:divBdr>
                          <w:divsChild>
                            <w:div w:id="1582792595">
                              <w:marLeft w:val="0"/>
                              <w:marRight w:val="0"/>
                              <w:marTop w:val="0"/>
                              <w:marBottom w:val="0"/>
                              <w:divBdr>
                                <w:top w:val="none" w:sz="0" w:space="0" w:color="auto"/>
                                <w:left w:val="none" w:sz="0" w:space="0" w:color="auto"/>
                                <w:bottom w:val="none" w:sz="0" w:space="0" w:color="auto"/>
                                <w:right w:val="none" w:sz="0" w:space="0" w:color="auto"/>
                              </w:divBdr>
                              <w:divsChild>
                                <w:div w:id="43844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ypeople.gov/2020/about/foundation-health-measures/Determinants-of-Health" TargetMode="External"/><Relationship Id="rId18" Type="http://schemas.openxmlformats.org/officeDocument/2006/relationships/hyperlink" Target="http://www.cdc.gov/mmwr/preview/mmwrhtml/mm4818a1.htm" TargetMode="External"/><Relationship Id="rId26" Type="http://schemas.openxmlformats.org/officeDocument/2006/relationships/hyperlink" Target="https://twitter.com/gohealthypeople" TargetMode="External"/><Relationship Id="rId39" Type="http://schemas.openxmlformats.org/officeDocument/2006/relationships/hyperlink" Target="https://www.hhs.gov/disclaimer.html" TargetMode="External"/><Relationship Id="rId3" Type="http://schemas.openxmlformats.org/officeDocument/2006/relationships/settings" Target="settings.xml"/><Relationship Id="rId21" Type="http://schemas.openxmlformats.org/officeDocument/2006/relationships/image" Target="media/image1.gif"/><Relationship Id="rId34" Type="http://schemas.openxmlformats.org/officeDocument/2006/relationships/hyperlink" Target="https://www.healthypeople.gov/node/5840" TargetMode="External"/><Relationship Id="rId42" Type="http://schemas.openxmlformats.org/officeDocument/2006/relationships/hyperlink" Target="https://www.hhs.gov/civil-rights/for-individuals/nondiscrimination/index.html" TargetMode="External"/><Relationship Id="rId47" Type="http://schemas.openxmlformats.org/officeDocument/2006/relationships/hyperlink" Target="https://www.hhs.gov/" TargetMode="External"/><Relationship Id="rId7" Type="http://schemas.openxmlformats.org/officeDocument/2006/relationships/hyperlink" Target="https://www.healthypeople.gov/2020/about/foundation-health-measures/Determinants-of-Health" TargetMode="External"/><Relationship Id="rId12" Type="http://schemas.openxmlformats.org/officeDocument/2006/relationships/hyperlink" Target="https://www.healthypeople.gov/2020/topics-objectives/topic/social-determinants-of-health" TargetMode="External"/><Relationship Id="rId17" Type="http://schemas.openxmlformats.org/officeDocument/2006/relationships/hyperlink" Target="https://www.healthypeople.gov/2020/about/foundation-health-measures/Determinants-of-Health" TargetMode="External"/><Relationship Id="rId25" Type="http://schemas.openxmlformats.org/officeDocument/2006/relationships/hyperlink" Target="https://www.healthypeople.gov/2020/about/foundation-health-measures/Determinants-of-Health" TargetMode="External"/><Relationship Id="rId33" Type="http://schemas.openxmlformats.org/officeDocument/2006/relationships/control" Target="activeX/activeX2.xml"/><Relationship Id="rId38" Type="http://schemas.openxmlformats.org/officeDocument/2006/relationships/hyperlink" Target="https://www.hhs.gov/privacy.html" TargetMode="External"/><Relationship Id="rId46"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www.healthypeople.gov/2020/topics-objectives/topic/Access-to-Health-Services?topicid=1" TargetMode="External"/><Relationship Id="rId20" Type="http://schemas.openxmlformats.org/officeDocument/2006/relationships/hyperlink" Target="https://www.healthypeople.gov/2020/exitDisclaimer/" TargetMode="External"/><Relationship Id="rId29" Type="http://schemas.openxmlformats.org/officeDocument/2006/relationships/image" Target="media/image3.jpeg"/><Relationship Id="rId41" Type="http://schemas.openxmlformats.org/officeDocument/2006/relationships/hyperlink" Target="https://healthypeople.gov/2010/" TargetMode="External"/><Relationship Id="rId1" Type="http://schemas.openxmlformats.org/officeDocument/2006/relationships/numbering" Target="numbering.xml"/><Relationship Id="rId6" Type="http://schemas.openxmlformats.org/officeDocument/2006/relationships/hyperlink" Target="https://www.healthypeople.gov/2020/about/foundation-health-measures/Determinants-of-Health" TargetMode="External"/><Relationship Id="rId11" Type="http://schemas.openxmlformats.org/officeDocument/2006/relationships/hyperlink" Target="https://www.healthypeople.gov/2020/about/foundation-health-measures/Determinants-of-Health" TargetMode="External"/><Relationship Id="rId24" Type="http://schemas.openxmlformats.org/officeDocument/2006/relationships/hyperlink" Target="http://www.euro.who.int/__data/assets/pdf_file/0005/98438/e81384.pdf" TargetMode="External"/><Relationship Id="rId32" Type="http://schemas.openxmlformats.org/officeDocument/2006/relationships/image" Target="media/image5.wmf"/><Relationship Id="rId37" Type="http://schemas.openxmlformats.org/officeDocument/2006/relationships/hyperlink" Target="https://www.hhs.gov/accessibility.html" TargetMode="External"/><Relationship Id="rId40" Type="http://schemas.openxmlformats.org/officeDocument/2006/relationships/hyperlink" Target="https://www.hhs.gov/foia/" TargetMode="External"/><Relationship Id="rId45" Type="http://schemas.openxmlformats.org/officeDocument/2006/relationships/image" Target="media/image6.png"/><Relationship Id="rId5" Type="http://schemas.openxmlformats.org/officeDocument/2006/relationships/hyperlink" Target="https://www.healthypeople.gov/2020/about/foundation-health-measures/Determinants-of-Health" TargetMode="External"/><Relationship Id="rId15" Type="http://schemas.openxmlformats.org/officeDocument/2006/relationships/hyperlink" Target="https://www.healthypeople.gov/2020/about/foundation-health-measures/Determinants-of-Health" TargetMode="External"/><Relationship Id="rId23" Type="http://schemas.openxmlformats.org/officeDocument/2006/relationships/hyperlink" Target="http://whqlibdoc.who.int/hq/2008/WHO_IER_CSDH_08.1_eng.pdf" TargetMode="External"/><Relationship Id="rId28" Type="http://schemas.openxmlformats.org/officeDocument/2006/relationships/hyperlink" Target="https://www.youtube.com/user/ODPHP" TargetMode="External"/><Relationship Id="rId36" Type="http://schemas.openxmlformats.org/officeDocument/2006/relationships/hyperlink" Target="https://www.healthypeople.gov/sitemap" TargetMode="External"/><Relationship Id="rId49" Type="http://schemas.openxmlformats.org/officeDocument/2006/relationships/theme" Target="theme/theme1.xml"/><Relationship Id="rId10" Type="http://schemas.openxmlformats.org/officeDocument/2006/relationships/hyperlink" Target="https://www.healthypeople.gov/2020/about/foundation-health-measures/Determinants-of-Health" TargetMode="External"/><Relationship Id="rId19" Type="http://schemas.openxmlformats.org/officeDocument/2006/relationships/hyperlink" Target="http://www.stateoftheair.org/" TargetMode="External"/><Relationship Id="rId31" Type="http://schemas.openxmlformats.org/officeDocument/2006/relationships/control" Target="activeX/activeX1.xml"/><Relationship Id="rId44" Type="http://schemas.openxmlformats.org/officeDocument/2006/relationships/hyperlink" Target="https://www.healthypeople.gov/2020/viewers" TargetMode="External"/><Relationship Id="rId4" Type="http://schemas.openxmlformats.org/officeDocument/2006/relationships/webSettings" Target="webSettings.xml"/><Relationship Id="rId9" Type="http://schemas.openxmlformats.org/officeDocument/2006/relationships/hyperlink" Target="https://www.healthypeople.gov/2020/about/foundation-health-measures/Determinants-of-Health" TargetMode="External"/><Relationship Id="rId14" Type="http://schemas.openxmlformats.org/officeDocument/2006/relationships/hyperlink" Target="https://www.healthypeople.gov/2020/about/foundation-health-measures/Determinants-of-Health" TargetMode="External"/><Relationship Id="rId22" Type="http://schemas.openxmlformats.org/officeDocument/2006/relationships/hyperlink" Target="http://www.ahrq.gov/qual/nhdr08/nhdr08.pdf" TargetMode="External"/><Relationship Id="rId27" Type="http://schemas.openxmlformats.org/officeDocument/2006/relationships/image" Target="media/image2.jpeg"/><Relationship Id="rId30" Type="http://schemas.openxmlformats.org/officeDocument/2006/relationships/image" Target="media/image4.wmf"/><Relationship Id="rId35" Type="http://schemas.openxmlformats.org/officeDocument/2006/relationships/hyperlink" Target="https://www.healthypeople.gov/2020/contact" TargetMode="External"/><Relationship Id="rId43" Type="http://schemas.openxmlformats.org/officeDocument/2006/relationships/hyperlink" Target="https://www.healthypeople.gov/node/5940" TargetMode="External"/><Relationship Id="rId48" Type="http://schemas.openxmlformats.org/officeDocument/2006/relationships/fontTable" Target="fontTable.xml"/><Relationship Id="rId8" Type="http://schemas.openxmlformats.org/officeDocument/2006/relationships/hyperlink" Target="https://www.healthypeople.gov/2020/about/foundation-health-measures/Determinants-of-Health"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2018-12-31T00:07:00Z</dcterms:created>
  <dcterms:modified xsi:type="dcterms:W3CDTF">2018-12-31T00:08:00Z</dcterms:modified>
</cp:coreProperties>
</file>